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eastAsiaTheme="minorEastAsia" w:cstheme="minorEastAsia"/>
          <w:sz w:val="22"/>
          <w:szCs w:val="22"/>
        </w:rPr>
      </w:pPr>
    </w:p>
    <w:p>
      <w:pPr>
        <w:ind w:firstLine="420"/>
        <w:jc w:val="center"/>
        <w:rPr>
          <w:rFonts w:hint="eastAsia" w:asciiTheme="minorEastAsia" w:hAnsiTheme="minorEastAsia" w:eastAsiaTheme="minorEastAsia" w:cstheme="minorEastAsia"/>
          <w:b/>
          <w:sz w:val="48"/>
          <w:szCs w:val="48"/>
          <w:lang w:eastAsia="zh-CN"/>
        </w:rPr>
      </w:pPr>
    </w:p>
    <w:p>
      <w:pPr>
        <w:ind w:firstLine="420"/>
        <w:jc w:val="center"/>
        <w:rPr>
          <w:rFonts w:hint="eastAsia" w:asciiTheme="majorEastAsia" w:hAnsiTheme="majorEastAsia" w:eastAsiaTheme="majorEastAsia" w:cstheme="majorEastAsia"/>
          <w:b/>
          <w:bCs w:val="0"/>
          <w:sz w:val="56"/>
          <w:szCs w:val="56"/>
          <w:lang w:eastAsia="zh-CN"/>
        </w:rPr>
      </w:pPr>
      <w:r>
        <w:rPr>
          <w:rFonts w:hint="eastAsia" w:asciiTheme="majorEastAsia" w:hAnsiTheme="majorEastAsia" w:eastAsiaTheme="majorEastAsia" w:cstheme="majorEastAsia"/>
          <w:b/>
          <w:bCs w:val="0"/>
          <w:sz w:val="56"/>
          <w:szCs w:val="56"/>
          <w:lang w:eastAsia="zh-CN"/>
        </w:rPr>
        <w:t>高校教师科技创新团队能力提升</w:t>
      </w:r>
    </w:p>
    <w:p>
      <w:pPr>
        <w:ind w:firstLine="420"/>
        <w:jc w:val="center"/>
        <w:rPr>
          <w:rFonts w:hint="eastAsia" w:asciiTheme="majorEastAsia" w:hAnsiTheme="majorEastAsia" w:eastAsiaTheme="majorEastAsia" w:cstheme="majorEastAsia"/>
          <w:b/>
          <w:bCs w:val="0"/>
          <w:sz w:val="56"/>
          <w:szCs w:val="56"/>
          <w:lang w:eastAsia="zh-CN"/>
        </w:rPr>
      </w:pPr>
      <w:r>
        <w:rPr>
          <w:rFonts w:hint="eastAsia" w:asciiTheme="majorEastAsia" w:hAnsiTheme="majorEastAsia" w:eastAsiaTheme="majorEastAsia" w:cstheme="majorEastAsia"/>
          <w:b/>
          <w:bCs w:val="0"/>
          <w:sz w:val="56"/>
          <w:szCs w:val="56"/>
          <w:lang w:eastAsia="zh-CN"/>
        </w:rPr>
        <w:t>培训方案</w:t>
      </w:r>
    </w:p>
    <w:p>
      <w:pPr>
        <w:jc w:val="center"/>
        <w:rPr>
          <w:rFonts w:hint="eastAsia" w:asciiTheme="majorEastAsia" w:hAnsiTheme="majorEastAsia" w:eastAsiaTheme="majorEastAsia" w:cstheme="majorEastAsia"/>
          <w:b/>
          <w:bCs w:val="0"/>
          <w:sz w:val="28"/>
          <w:szCs w:val="28"/>
          <w:lang w:eastAsia="zh-CN"/>
        </w:rPr>
      </w:pPr>
    </w:p>
    <w:p>
      <w:pPr>
        <w:jc w:val="both"/>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val="en-US" w:eastAsia="zh-CN"/>
        </w:rPr>
        <w:t xml:space="preserve"> </w:t>
      </w:r>
    </w:p>
    <w:p>
      <w:pPr>
        <w:jc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drawing>
          <wp:inline distT="0" distB="0" distL="114300" distR="114300">
            <wp:extent cx="1876425" cy="1876425"/>
            <wp:effectExtent l="0" t="0" r="9525" b="9525"/>
            <wp:docPr id="13" name="图片 13" descr="戴维斯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戴维斯5"/>
                    <pic:cNvPicPr>
                      <a:picLocks noChangeAspect="1"/>
                    </pic:cNvPicPr>
                  </pic:nvPicPr>
                  <pic:blipFill>
                    <a:blip r:embed="rId5"/>
                    <a:stretch>
                      <a:fillRect/>
                    </a:stretch>
                  </pic:blipFill>
                  <pic:spPr>
                    <a:xfrm>
                      <a:off x="0" y="0"/>
                      <a:ext cx="1876425" cy="1876425"/>
                    </a:xfrm>
                    <a:prstGeom prst="rect">
                      <a:avLst/>
                    </a:prstGeom>
                  </pic:spPr>
                </pic:pic>
              </a:graphicData>
            </a:graphic>
          </wp:inline>
        </w:drawing>
      </w:r>
    </w:p>
    <w:p>
      <w:pPr>
        <w:jc w:val="both"/>
        <w:rPr>
          <w:rFonts w:hint="eastAsia" w:asciiTheme="minorEastAsia" w:hAnsiTheme="minorEastAsia" w:eastAsiaTheme="minorEastAsia" w:cstheme="minorEastAsia"/>
          <w:b/>
          <w:bCs/>
          <w:sz w:val="36"/>
          <w:szCs w:val="36"/>
          <w:lang w:eastAsia="zh-CN"/>
        </w:rPr>
      </w:pPr>
      <w:bookmarkStart w:id="0" w:name="_Toc252894050"/>
      <w:bookmarkStart w:id="1" w:name="_Toc252884310"/>
      <w:bookmarkStart w:id="2" w:name="_Toc252884358"/>
      <w:bookmarkStart w:id="3" w:name="_Toc252866697"/>
    </w:p>
    <w:p>
      <w:pPr>
        <w:jc w:val="center"/>
        <w:rPr>
          <w:rFonts w:hint="eastAsia" w:asciiTheme="minorEastAsia" w:hAnsiTheme="minorEastAsia" w:eastAsiaTheme="minorEastAsia" w:cstheme="minorEastAsia"/>
          <w:b/>
          <w:bCs/>
          <w:sz w:val="44"/>
          <w:szCs w:val="44"/>
          <w:lang w:eastAsia="zh-CN"/>
        </w:rPr>
      </w:pPr>
    </w:p>
    <w:p>
      <w:pPr>
        <w:jc w:val="center"/>
        <w:rPr>
          <w:rFonts w:hint="eastAsia" w:asciiTheme="minorEastAsia" w:hAnsiTheme="minorEastAsia" w:eastAsiaTheme="minorEastAsia" w:cstheme="minorEastAsia"/>
          <w:b/>
          <w:bCs/>
          <w:sz w:val="44"/>
          <w:szCs w:val="44"/>
          <w:lang w:eastAsia="zh-CN"/>
        </w:rPr>
      </w:pPr>
    </w:p>
    <w:p>
      <w:pPr>
        <w:jc w:val="center"/>
        <w:rPr>
          <w:rFonts w:hint="eastAsia" w:asciiTheme="minorEastAsia" w:hAnsiTheme="minorEastAsia" w:eastAsiaTheme="minorEastAsia" w:cstheme="minorEastAsia"/>
          <w:b/>
          <w:bCs/>
          <w:sz w:val="44"/>
          <w:szCs w:val="44"/>
          <w:lang w:eastAsia="zh-CN"/>
        </w:rPr>
      </w:pPr>
    </w:p>
    <w:p>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eastAsia="zh-CN"/>
        </w:rPr>
        <w:t>加州大学</w:t>
      </w:r>
      <w:r>
        <w:rPr>
          <w:rFonts w:hint="eastAsia" w:asciiTheme="minorEastAsia" w:hAnsiTheme="minorEastAsia" w:eastAsiaTheme="minorEastAsia" w:cstheme="minorEastAsia"/>
          <w:b/>
          <w:bCs/>
          <w:sz w:val="44"/>
          <w:szCs w:val="44"/>
        </w:rPr>
        <w:t>戴维斯分校</w:t>
      </w:r>
    </w:p>
    <w:p>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w:t>
      </w:r>
      <w:r>
        <w:rPr>
          <w:rFonts w:hint="eastAsia" w:asciiTheme="minorEastAsia" w:hAnsiTheme="minorEastAsia" w:cstheme="minorEastAsia"/>
          <w:b/>
          <w:bCs/>
          <w:sz w:val="44"/>
          <w:szCs w:val="44"/>
          <w:lang w:eastAsia="zh-CN"/>
        </w:rPr>
        <w:t>国家</w:t>
      </w:r>
      <w:r>
        <w:rPr>
          <w:rFonts w:hint="eastAsia" w:asciiTheme="minorEastAsia" w:hAnsiTheme="minorEastAsia" w:eastAsiaTheme="minorEastAsia" w:cstheme="minorEastAsia"/>
          <w:b/>
          <w:bCs/>
          <w:sz w:val="44"/>
          <w:szCs w:val="44"/>
        </w:rPr>
        <w:t>外专局</w:t>
      </w:r>
      <w:r>
        <w:rPr>
          <w:rFonts w:hint="eastAsia" w:asciiTheme="minorEastAsia" w:hAnsiTheme="minorEastAsia" w:eastAsiaTheme="minorEastAsia" w:cstheme="minorEastAsia"/>
          <w:b/>
          <w:bCs/>
          <w:sz w:val="44"/>
          <w:szCs w:val="44"/>
          <w:lang w:eastAsia="zh-CN"/>
        </w:rPr>
        <w:t>机构编号</w:t>
      </w:r>
      <w:r>
        <w:rPr>
          <w:rFonts w:hint="eastAsia" w:asciiTheme="minorEastAsia" w:hAnsiTheme="minorEastAsia" w:eastAsiaTheme="minorEastAsia" w:cstheme="minorEastAsia"/>
          <w:b/>
          <w:bCs/>
          <w:sz w:val="44"/>
          <w:szCs w:val="44"/>
        </w:rPr>
        <w:t>：220006）</w:t>
      </w:r>
    </w:p>
    <w:bookmarkEnd w:id="0"/>
    <w:bookmarkEnd w:id="1"/>
    <w:bookmarkEnd w:id="2"/>
    <w:bookmarkEnd w:id="3"/>
    <w:p>
      <w:pPr>
        <w:pStyle w:val="13"/>
        <w:spacing w:line="288" w:lineRule="auto"/>
        <w:ind w:left="438" w:leftChars="199" w:firstLine="442" w:firstLineChars="200"/>
        <w:jc w:val="center"/>
        <w:rPr>
          <w:rFonts w:hint="eastAsia" w:asciiTheme="minorEastAsia" w:hAnsiTheme="minorEastAsia" w:eastAsiaTheme="minorEastAsia" w:cstheme="minorEastAsia"/>
          <w:b/>
          <w:sz w:val="22"/>
          <w:szCs w:val="22"/>
        </w:rPr>
      </w:pPr>
      <w:bookmarkStart w:id="4" w:name="_Toc252884372"/>
      <w:bookmarkStart w:id="5" w:name="_Toc252884324"/>
      <w:bookmarkStart w:id="6" w:name="_Toc252866710"/>
      <w:bookmarkStart w:id="7" w:name="_Toc252894071"/>
    </w:p>
    <w:p>
      <w:pPr>
        <w:outlineLvl w:val="0"/>
        <w:rPr>
          <w:rFonts w:hint="eastAsia" w:asciiTheme="minorEastAsia" w:hAnsiTheme="minorEastAsia" w:eastAsiaTheme="minorEastAsia" w:cstheme="minorEastAsia"/>
          <w:b/>
          <w:sz w:val="22"/>
          <w:szCs w:val="22"/>
        </w:rPr>
      </w:pPr>
    </w:p>
    <w:bookmarkEnd w:id="4"/>
    <w:bookmarkEnd w:id="5"/>
    <w:bookmarkEnd w:id="6"/>
    <w:bookmarkEnd w:id="7"/>
    <w:p>
      <w:pPr>
        <w:numPr>
          <w:numId w:val="0"/>
        </w:numPr>
        <w:outlineLvl w:val="0"/>
        <w:rPr>
          <w:rFonts w:hint="eastAsia" w:asciiTheme="minorEastAsia" w:hAnsiTheme="minorEastAsia" w:eastAsiaTheme="minorEastAsia" w:cstheme="minorEastAsia"/>
          <w:b/>
          <w:sz w:val="22"/>
          <w:szCs w:val="22"/>
        </w:rPr>
      </w:pPr>
      <w:r>
        <w:rPr>
          <w:rFonts w:hint="eastAsia" w:asciiTheme="minorEastAsia" w:hAnsiTheme="minorEastAsia" w:cstheme="minorEastAsia"/>
          <w:b/>
          <w:sz w:val="22"/>
          <w:szCs w:val="22"/>
          <w:lang w:eastAsia="zh-CN"/>
        </w:rPr>
        <w:t>一、</w:t>
      </w:r>
      <w:r>
        <w:rPr>
          <w:rFonts w:hint="eastAsia" w:asciiTheme="minorEastAsia" w:hAnsiTheme="minorEastAsia" w:eastAsiaTheme="minorEastAsia" w:cstheme="minorEastAsia"/>
          <w:b/>
          <w:sz w:val="22"/>
          <w:szCs w:val="22"/>
          <w:lang w:eastAsia="zh-CN"/>
        </w:rPr>
        <w:t>培训日程</w:t>
      </w:r>
    </w:p>
    <w:tbl>
      <w:tblPr>
        <w:tblStyle w:val="8"/>
        <w:tblW w:w="88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945"/>
        <w:gridCol w:w="5941"/>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center"/>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天</w:t>
            </w:r>
          </w:p>
        </w:tc>
        <w:tc>
          <w:tcPr>
            <w:tcW w:w="945" w:type="dxa"/>
            <w:vAlign w:val="center"/>
          </w:tcPr>
          <w:p>
            <w:pPr>
              <w:jc w:val="center"/>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星期</w:t>
            </w:r>
          </w:p>
        </w:tc>
        <w:tc>
          <w:tcPr>
            <w:tcW w:w="5941" w:type="dxa"/>
            <w:vAlign w:val="top"/>
          </w:tcPr>
          <w:p>
            <w:pPr>
              <w:jc w:val="center"/>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内      容</w:t>
            </w:r>
          </w:p>
        </w:tc>
        <w:tc>
          <w:tcPr>
            <w:tcW w:w="1094" w:type="dxa"/>
            <w:vAlign w:val="center"/>
          </w:tcPr>
          <w:p>
            <w:pPr>
              <w:jc w:val="center"/>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日</w:t>
            </w:r>
          </w:p>
        </w:tc>
        <w:tc>
          <w:tcPr>
            <w:tcW w:w="5941" w:type="dxa"/>
            <w:vAlign w:val="top"/>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乘机飞往旧金山，</w:t>
            </w:r>
            <w:r>
              <w:rPr>
                <w:rFonts w:hint="eastAsia" w:asciiTheme="minorEastAsia" w:hAnsiTheme="minorEastAsia" w:cstheme="minorEastAsia"/>
                <w:color w:val="000000" w:themeColor="text1"/>
                <w:sz w:val="22"/>
                <w:szCs w:val="22"/>
                <w:lang w:eastAsia="zh-CN"/>
                <w14:textFill>
                  <w14:solidFill>
                    <w14:schemeClr w14:val="tx1"/>
                  </w14:solidFill>
                </w14:textFill>
              </w:rPr>
              <w:t>由专人接待</w:t>
            </w: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入住酒店，</w:t>
            </w:r>
          </w:p>
        </w:tc>
        <w:tc>
          <w:tcPr>
            <w:tcW w:w="1094"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北京</w:t>
            </w: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2"/>
                <w:szCs w:val="22"/>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2</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一</w:t>
            </w:r>
          </w:p>
        </w:tc>
        <w:tc>
          <w:tcPr>
            <w:tcW w:w="5941" w:type="dxa"/>
            <w:vAlign w:val="center"/>
          </w:tcPr>
          <w:p>
            <w:pPr>
              <w:jc w:val="left"/>
              <w:rPr>
                <w:rFonts w:hint="eastAsia" w:asciiTheme="minorEastAsia" w:hAnsiTheme="minorEastAsia" w:eastAsiaTheme="minorEastAsia" w:cstheme="minorEastAsia"/>
                <w:b/>
                <w:color w:val="000000" w:themeColor="text1"/>
                <w:sz w:val="22"/>
                <w:szCs w:val="22"/>
                <w14:textFill>
                  <w14:solidFill>
                    <w14:schemeClr w14:val="tx1"/>
                  </w14:solidFill>
                </w14:textFill>
              </w:rPr>
            </w:pPr>
            <w:r>
              <w:rPr>
                <w:rFonts w:hint="eastAsia" w:asciiTheme="minorEastAsia" w:hAnsiTheme="minorEastAsia" w:eastAsiaTheme="minorEastAsia" w:cstheme="minorEastAsia"/>
                <w:b/>
                <w:color w:val="000000" w:themeColor="text1"/>
                <w:sz w:val="22"/>
                <w:szCs w:val="22"/>
                <w14:textFill>
                  <w14:solidFill>
                    <w14:schemeClr w14:val="tx1"/>
                  </w14:solidFill>
                </w14:textFill>
              </w:rPr>
              <w:t>培训：</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美国高等教育概况</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美国高校分布特点</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美国政府对高校的政策及资金投入</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美国大学的</w:t>
            </w: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以创新研究为导向学科建设</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 xml:space="preserve">的普遍特征 </w:t>
            </w:r>
          </w:p>
          <w:p>
            <w:pPr>
              <w:jc w:val="left"/>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加州的高等教育体制及加州大学系统</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以学校发展定位规划学科建设</w:t>
            </w:r>
            <w:r>
              <w:rPr>
                <w:rFonts w:hint="eastAsia" w:asciiTheme="minorEastAsia" w:hAnsiTheme="minorEastAsia" w:cstheme="minorEastAsia"/>
                <w:b w:val="0"/>
                <w:bCs/>
                <w:color w:val="000000" w:themeColor="text1"/>
                <w:sz w:val="22"/>
                <w:szCs w:val="22"/>
                <w:lang w:eastAsia="zh-CN"/>
                <w14:textFill>
                  <w14:solidFill>
                    <w14:schemeClr w14:val="tx1"/>
                  </w14:solidFill>
                </w14:textFill>
              </w:rPr>
              <w:t>和科研方向</w:t>
            </w:r>
          </w:p>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问答交流环节</w:t>
            </w:r>
          </w:p>
        </w:tc>
        <w:tc>
          <w:tcPr>
            <w:tcW w:w="1094" w:type="dxa"/>
            <w:vAlign w:val="center"/>
          </w:tcPr>
          <w:p>
            <w:pPr>
              <w:spacing w:line="400" w:lineRule="exact"/>
              <w:ind w:firstLine="110" w:firstLineChars="50"/>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3</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二</w:t>
            </w:r>
          </w:p>
        </w:tc>
        <w:tc>
          <w:tcPr>
            <w:tcW w:w="5941" w:type="dxa"/>
            <w:vAlign w:val="center"/>
          </w:tcPr>
          <w:p>
            <w:pPr>
              <w:jc w:val="left"/>
              <w:rPr>
                <w:rFonts w:hint="eastAsia" w:asciiTheme="minorEastAsia" w:hAnsiTheme="minorEastAsia" w:eastAsiaTheme="minorEastAsia" w:cstheme="minorEastAsia"/>
                <w:b/>
                <w:color w:val="000000" w:themeColor="text1"/>
                <w:sz w:val="22"/>
                <w:szCs w:val="22"/>
                <w14:textFill>
                  <w14:solidFill>
                    <w14:schemeClr w14:val="tx1"/>
                  </w14:solidFill>
                </w14:textFill>
              </w:rPr>
            </w:pPr>
            <w:r>
              <w:rPr>
                <w:rFonts w:hint="eastAsia" w:asciiTheme="minorEastAsia" w:hAnsiTheme="minorEastAsia" w:eastAsiaTheme="minorEastAsia" w:cstheme="minorEastAsia"/>
                <w:b/>
                <w:color w:val="000000" w:themeColor="text1"/>
                <w:sz w:val="22"/>
                <w:szCs w:val="22"/>
                <w14:textFill>
                  <w14:solidFill>
                    <w14:schemeClr w14:val="tx1"/>
                  </w14:solidFill>
                </w14:textFill>
              </w:rPr>
              <w:t>培训：</w:t>
            </w:r>
          </w:p>
          <w:p>
            <w:pPr>
              <w:pStyle w:val="12"/>
              <w:numPr>
                <w:ilvl w:val="0"/>
                <w:numId w:val="0"/>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加州大学戴维斯分校</w:t>
            </w:r>
            <w:r>
              <w:rPr>
                <w:rFonts w:hint="eastAsia" w:asciiTheme="minorEastAsia" w:hAnsiTheme="minorEastAsia" w:eastAsiaTheme="minorEastAsia" w:cstheme="minorEastAsia"/>
                <w:b w:val="0"/>
                <w:bCs/>
                <w:color w:val="000000" w:themeColor="text1"/>
                <w:sz w:val="22"/>
                <w:szCs w:val="22"/>
                <w:lang w:val="en-US"/>
                <w14:textFill>
                  <w14:solidFill>
                    <w14:schemeClr w14:val="tx1"/>
                  </w14:solidFill>
                </w14:textFill>
              </w:rPr>
              <w:t>大学范围内的整体科研管理及运作模式</w:t>
            </w:r>
          </w:p>
          <w:p>
            <w:pPr>
              <w:pStyle w:val="12"/>
              <w:numPr>
                <w:ilvl w:val="0"/>
                <w:numId w:val="0"/>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校、院系二级合作创新方式吸引人才参与科研</w:t>
            </w:r>
          </w:p>
          <w:p>
            <w:pPr>
              <w:pStyle w:val="12"/>
              <w:numPr>
                <w:ilvl w:val="0"/>
                <w:numId w:val="0"/>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如何针对大学教研人员创建完善的科研能力考核评估计划</w:t>
            </w:r>
          </w:p>
          <w:p>
            <w:pPr>
              <w:pStyle w:val="12"/>
              <w:numPr>
                <w:ilvl w:val="0"/>
                <w:numId w:val="0"/>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创新设计高校科研人员晋升机制</w:t>
            </w:r>
          </w:p>
          <w:p>
            <w:pPr>
              <w:jc w:val="left"/>
              <w:rPr>
                <w:rFonts w:hint="eastAsia" w:asciiTheme="minorEastAsia" w:hAnsiTheme="minorEastAsia" w:eastAsiaTheme="minorEastAsia" w:cstheme="minorEastAsia"/>
                <w:color w:val="000000" w:themeColor="text1"/>
                <w:sz w:val="22"/>
                <w:szCs w:val="22"/>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eastAsia="zh-CN"/>
                <w14:textFill>
                  <w14:solidFill>
                    <w14:schemeClr w14:val="tx1"/>
                  </w14:solidFill>
                </w14:textFill>
              </w:rPr>
              <w:t>问答交流环节</w:t>
            </w:r>
          </w:p>
        </w:tc>
        <w:tc>
          <w:tcPr>
            <w:tcW w:w="1094" w:type="dxa"/>
            <w:vAlign w:val="center"/>
          </w:tcPr>
          <w:p>
            <w:pPr>
              <w:spacing w:line="400" w:lineRule="exact"/>
              <w:ind w:firstLine="110" w:firstLineChars="50"/>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tabs>
                <w:tab w:val="left" w:pos="320"/>
                <w:tab w:val="center" w:pos="457"/>
              </w:tabs>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ab/>
            </w: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ab/>
            </w:r>
            <w:r>
              <w:rPr>
                <w:rFonts w:hint="eastAsia" w:asciiTheme="minorEastAsia" w:hAnsiTheme="minorEastAsia" w:eastAsiaTheme="minorEastAsia" w:cstheme="minorEastAsia"/>
                <w:color w:val="000000" w:themeColor="text1"/>
                <w:sz w:val="22"/>
                <w:szCs w:val="22"/>
                <w14:textFill>
                  <w14:solidFill>
                    <w14:schemeClr w14:val="tx1"/>
                  </w14:solidFill>
                </w14:textFill>
              </w:rPr>
              <w:t>4</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三</w:t>
            </w:r>
          </w:p>
        </w:tc>
        <w:tc>
          <w:tcPr>
            <w:tcW w:w="5941" w:type="dxa"/>
            <w:vAlign w:val="center"/>
          </w:tcPr>
          <w:p>
            <w:pPr>
              <w:jc w:val="left"/>
              <w:rPr>
                <w:rFonts w:hint="eastAsia"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培训：</w:t>
            </w:r>
          </w:p>
          <w:p>
            <w:pPr>
              <w:jc w:val="left"/>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t>上午：</w:t>
            </w:r>
          </w:p>
          <w:p>
            <w:pPr>
              <w:jc w:val="left"/>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t>加州大学戴维斯分校学术评估办公室（Office of Academic Assessment, UC Davis ）专家讲座</w:t>
            </w:r>
          </w:p>
          <w:p>
            <w:pPr>
              <w:numPr>
                <w:ilvl w:val="0"/>
                <w:numId w:val="1"/>
              </w:numPr>
              <w:ind w:left="420" w:leftChars="0" w:hanging="420" w:firstLineChars="0"/>
              <w:jc w:val="left"/>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t>如何创建评估计划和如何实施评估教学</w:t>
            </w:r>
          </w:p>
          <w:p>
            <w:pPr>
              <w:numPr>
                <w:ilvl w:val="0"/>
                <w:numId w:val="1"/>
              </w:numPr>
              <w:ind w:left="420" w:leftChars="0" w:hanging="420" w:firstLineChars="0"/>
              <w:jc w:val="left"/>
              <w:rPr>
                <w:rFonts w:hint="eastAsia" w:asciiTheme="minorEastAsia" w:hAnsiTheme="minorEastAsia" w:eastAsiaTheme="minorEastAsia" w:cstheme="minorEastAsia"/>
                <w:b w:val="0"/>
                <w:bCs w:val="0"/>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t>学术评估办公室作为大学的学术机构</w:t>
            </w:r>
            <w:r>
              <w:rPr>
                <w:rFonts w:hint="eastAsia" w:asciiTheme="minorEastAsia" w:hAnsiTheme="minorEastAsia" w:eastAsiaTheme="minorEastAsia" w:cstheme="minorEastAsia"/>
                <w:b w:val="0"/>
                <w:bCs w:val="0"/>
                <w:color w:val="000000" w:themeColor="text1"/>
                <w:sz w:val="22"/>
                <w:szCs w:val="22"/>
                <w:lang w:eastAsia="zh-CN"/>
                <w14:textFill>
                  <w14:solidFill>
                    <w14:schemeClr w14:val="tx1"/>
                  </w14:solidFill>
                </w14:textFill>
              </w:rPr>
              <w:t>与研究生委员会的权利制度建设及其作用</w:t>
            </w:r>
          </w:p>
          <w:p>
            <w:pPr>
              <w:numPr>
                <w:ilvl w:val="0"/>
                <w:numId w:val="1"/>
              </w:numPr>
              <w:ind w:left="420" w:leftChars="0" w:hanging="420" w:firstLineChars="0"/>
              <w:jc w:val="left"/>
              <w:rPr>
                <w:rFonts w:hint="eastAsia" w:asciiTheme="minorEastAsia" w:hAnsiTheme="minorEastAsia" w:eastAsiaTheme="minorEastAsia" w:cstheme="minorEastAsia"/>
                <w:b w:val="0"/>
                <w:bCs w:val="0"/>
                <w:color w:val="000000" w:themeColor="text1"/>
                <w:sz w:val="22"/>
                <w:szCs w:val="22"/>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2"/>
                <w:szCs w:val="22"/>
                <w:lang w:val="en-US" w:eastAsia="zh-CN"/>
                <w14:textFill>
                  <w14:solidFill>
                    <w14:schemeClr w14:val="tx1"/>
                  </w14:solidFill>
                </w14:textFill>
              </w:rPr>
              <w:t>如何与其他部门协调合作，以更好地保证研究生教育质量</w:t>
            </w:r>
          </w:p>
          <w:p>
            <w:pPr>
              <w:numPr>
                <w:ilvl w:val="0"/>
                <w:numId w:val="1"/>
              </w:numPr>
              <w:ind w:left="420" w:leftChars="0" w:hanging="420" w:firstLineChars="0"/>
              <w:jc w:val="left"/>
              <w:rPr>
                <w:rFonts w:hint="eastAsia" w:asciiTheme="minorEastAsia" w:hAnsiTheme="minorEastAsia" w:eastAsiaTheme="minorEastAsia" w:cstheme="minorEastAsia"/>
                <w:b w:val="0"/>
                <w:bCs w:val="0"/>
                <w:color w:val="000000" w:themeColor="text1"/>
                <w:sz w:val="22"/>
                <w:szCs w:val="22"/>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2"/>
                <w:szCs w:val="22"/>
                <w:lang w:val="en-US" w:eastAsia="zh-CN"/>
                <w14:textFill>
                  <w14:solidFill>
                    <w14:schemeClr w14:val="tx1"/>
                  </w14:solidFill>
                </w14:textFill>
              </w:rPr>
              <w:t>研究生培养推动院系科研发展实践的重要意义</w:t>
            </w:r>
          </w:p>
          <w:p>
            <w:pPr>
              <w:jc w:val="left"/>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t>问答</w:t>
            </w:r>
            <w:r>
              <w:rPr>
                <w:rFonts w:hint="eastAsia" w:asciiTheme="minorEastAsia" w:hAnsiTheme="minorEastAsia" w:eastAsiaTheme="minorEastAsia" w:cstheme="minorEastAsia"/>
                <w:b w:val="0"/>
                <w:bCs w:val="0"/>
                <w:color w:val="000000" w:themeColor="text1"/>
                <w:sz w:val="22"/>
                <w:szCs w:val="22"/>
                <w:lang w:eastAsia="zh-CN"/>
                <w14:textFill>
                  <w14:solidFill>
                    <w14:schemeClr w14:val="tx1"/>
                  </w14:solidFill>
                </w14:textFill>
              </w:rPr>
              <w:t>交流</w:t>
            </w:r>
            <w:r>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t>环节</w:t>
            </w:r>
          </w:p>
          <w:p>
            <w:pPr>
              <w:jc w:val="left"/>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pPr>
          </w:p>
          <w:p>
            <w:pPr>
              <w:jc w:val="left"/>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val="0"/>
                <w:color w:val="000000" w:themeColor="text1"/>
                <w:sz w:val="22"/>
                <w:szCs w:val="22"/>
                <w14:textFill>
                  <w14:solidFill>
                    <w14:schemeClr w14:val="tx1"/>
                  </w14:solidFill>
                </w14:textFill>
              </w:rPr>
              <w:t>下午：</w:t>
            </w:r>
          </w:p>
          <w:p>
            <w:pPr>
              <w:pStyle w:val="4"/>
              <w:shd w:val="clear" w:color="auto" w:fill="FFFFFF"/>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加州大学戴维斯分校工程技术中心（Engineering Translational Technology Center (ETTC)）工程学生创业中心（Engineering Student Startup Center (ESSC)）</w:t>
            </w:r>
          </w:p>
          <w:p>
            <w:pPr>
              <w:pStyle w:val="4"/>
              <w:numPr>
                <w:numId w:val="0"/>
              </w:numPr>
              <w:shd w:val="clear" w:color="auto" w:fill="FFFFFF"/>
              <w:ind w:leftChars="0"/>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中心为鼓励教师学生创业提供的服务和支持政策</w:t>
            </w:r>
          </w:p>
          <w:p>
            <w:pPr>
              <w:pStyle w:val="4"/>
              <w:numPr>
                <w:numId w:val="0"/>
              </w:numPr>
              <w:shd w:val="clear" w:color="auto" w:fill="FFFFFF"/>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中心与商学院合作的成功模式</w:t>
            </w:r>
          </w:p>
          <w:p>
            <w:pPr>
              <w:pStyle w:val="4"/>
              <w:numPr>
                <w:numId w:val="0"/>
              </w:numPr>
              <w:shd w:val="clear" w:color="auto" w:fill="FFFFFF"/>
              <w:ind w:leftChars="0"/>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中心在帮助教师和学生提高创新能力和使其科研成果快速市场化的模式与积极意义</w:t>
            </w:r>
          </w:p>
          <w:p>
            <w:pPr>
              <w:numPr>
                <w:numId w:val="0"/>
              </w:numPr>
              <w:ind w:leftChars="0"/>
              <w:contextualSpacing/>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问答交流环节</w:t>
            </w:r>
          </w:p>
        </w:tc>
        <w:tc>
          <w:tcPr>
            <w:tcW w:w="1094" w:type="dxa"/>
            <w:vAlign w:val="center"/>
          </w:tcPr>
          <w:p>
            <w:pPr>
              <w:spacing w:line="400" w:lineRule="exact"/>
              <w:ind w:firstLine="110" w:firstLineChars="50"/>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5</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四</w:t>
            </w:r>
          </w:p>
        </w:tc>
        <w:tc>
          <w:tcPr>
            <w:tcW w:w="5941" w:type="dxa"/>
            <w:vAlign w:val="center"/>
          </w:tcPr>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color w:val="000000" w:themeColor="text1"/>
                <w:sz w:val="22"/>
                <w:szCs w:val="22"/>
                <w14:textFill>
                  <w14:solidFill>
                    <w14:schemeClr w14:val="tx1"/>
                  </w14:solidFill>
                </w14:textFill>
              </w:rPr>
              <w:t>培训：</w:t>
            </w:r>
          </w:p>
          <w:p>
            <w:pPr>
              <w:jc w:val="left"/>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上午</w:t>
            </w:r>
          </w:p>
          <w:p>
            <w:pPr>
              <w:rPr>
                <w:rFonts w:hint="eastAsia"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2"/>
                <w:szCs w:val="22"/>
                <w14:textFill>
                  <w14:solidFill>
                    <w14:schemeClr w14:val="tx1"/>
                  </w14:solidFill>
                </w14:textFill>
              </w:rPr>
              <w:t>美国高校院系科研管理模式</w:t>
            </w:r>
          </w:p>
          <w:p>
            <w:pPr>
              <w:rPr>
                <w:rFonts w:hint="eastAsia"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2"/>
                <w:szCs w:val="22"/>
                <w14:textFill>
                  <w14:solidFill>
                    <w14:schemeClr w14:val="tx1"/>
                  </w14:solidFill>
                </w14:textFill>
              </w:rPr>
              <w:t>美国高校院系范围内的科研管理模式</w:t>
            </w:r>
          </w:p>
          <w:p>
            <w:pPr>
              <w:rPr>
                <w:rFonts w:hint="eastAsia"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2"/>
                <w:szCs w:val="22"/>
                <w14:textFill>
                  <w14:solidFill>
                    <w14:schemeClr w14:val="tx1"/>
                  </w14:solidFill>
                </w14:textFill>
              </w:rPr>
              <w:t>院系科研评价体系与教授专业科研能力发展的良性互动</w:t>
            </w:r>
          </w:p>
          <w:p>
            <w:pPr>
              <w:rPr>
                <w:rFonts w:hint="eastAsia"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以加州大学戴维斯分校机械和航天工程系为例，探讨该系与Hyundai 公司的研究合作模式，推动教授科研能力提高，探索产学研结合的成功途径</w:t>
            </w:r>
          </w:p>
          <w:p>
            <w:pPr>
              <w:rPr>
                <w:rFonts w:hint="eastAsia"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问答</w:t>
            </w: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交流</w:t>
            </w:r>
            <w:r>
              <w:rPr>
                <w:rFonts w:hint="eastAsia" w:asciiTheme="minorEastAsia" w:hAnsiTheme="minorEastAsia" w:eastAsiaTheme="minorEastAsia" w:cstheme="minorEastAsia"/>
                <w:color w:val="000000" w:themeColor="text1"/>
                <w:sz w:val="22"/>
                <w:szCs w:val="22"/>
                <w14:textFill>
                  <w14:solidFill>
                    <w14:schemeClr w14:val="tx1"/>
                  </w14:solidFill>
                </w14:textFill>
              </w:rPr>
              <w:t>环节</w:t>
            </w:r>
          </w:p>
          <w:p>
            <w:pPr>
              <w:rPr>
                <w:rFonts w:hint="eastAsia" w:asciiTheme="minorEastAsia" w:hAnsiTheme="minorEastAsia" w:eastAsiaTheme="minorEastAsia" w:cstheme="minorEastAsia"/>
                <w:color w:val="000000" w:themeColor="text1"/>
                <w:sz w:val="22"/>
                <w:szCs w:val="22"/>
                <w14:textFill>
                  <w14:solidFill>
                    <w14:schemeClr w14:val="tx1"/>
                  </w14:solidFill>
                </w14:textFill>
              </w:rPr>
            </w:pPr>
          </w:p>
          <w:p>
            <w:pPr>
              <w:jc w:val="left"/>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下午</w:t>
            </w:r>
          </w:p>
          <w:p>
            <w:pPr>
              <w:jc w:val="left"/>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访问</w:t>
            </w: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加州大学戴维斯分校常务副校长办公室</w:t>
            </w: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，座谈交流。</w:t>
            </w:r>
          </w:p>
          <w:p>
            <w:pPr>
              <w:numPr>
                <w:ilvl w:val="0"/>
                <w:numId w:val="2"/>
              </w:numPr>
              <w:ind w:left="420" w:leftChars="0" w:hanging="420" w:firstLineChars="0"/>
              <w:jc w:val="left"/>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教师科研人员的聘任制度</w:t>
            </w:r>
          </w:p>
          <w:p>
            <w:pPr>
              <w:numPr>
                <w:ilvl w:val="0"/>
                <w:numId w:val="2"/>
              </w:numPr>
              <w:ind w:left="420" w:leftChars="0" w:hanging="420" w:firstLineChars="0"/>
              <w:jc w:val="left"/>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聘任制度实施体系的环节</w:t>
            </w:r>
          </w:p>
          <w:p>
            <w:pPr>
              <w:numPr>
                <w:ilvl w:val="0"/>
                <w:numId w:val="2"/>
              </w:numPr>
              <w:ind w:left="420" w:leftChars="0" w:hanging="420" w:firstLineChars="0"/>
              <w:jc w:val="left"/>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教师的职务管理与晋升制度，</w:t>
            </w:r>
          </w:p>
          <w:p>
            <w:pPr>
              <w:numPr>
                <w:ilvl w:val="0"/>
                <w:numId w:val="2"/>
              </w:numPr>
              <w:ind w:left="420" w:leftChars="0" w:hanging="420" w:firstLineChars="0"/>
              <w:jc w:val="left"/>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包括实行终身教授聘任制度，管理与考评体系，考核的主要流程等</w:t>
            </w:r>
          </w:p>
          <w:p>
            <w:pPr>
              <w:numPr>
                <w:numId w:val="0"/>
              </w:numPr>
              <w:ind w:leftChars="0"/>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问答交流环节</w:t>
            </w:r>
          </w:p>
        </w:tc>
        <w:tc>
          <w:tcPr>
            <w:tcW w:w="1094"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6</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五</w:t>
            </w:r>
          </w:p>
        </w:tc>
        <w:tc>
          <w:tcPr>
            <w:tcW w:w="5941" w:type="dxa"/>
            <w:vAlign w:val="center"/>
          </w:tcPr>
          <w:p>
            <w:pPr>
              <w:rPr>
                <w:rFonts w:hint="eastAsia" w:asciiTheme="minorEastAsia" w:hAnsiTheme="minorEastAsia" w:eastAsiaTheme="minorEastAsia" w:cstheme="minorEastAsia"/>
                <w:b/>
                <w:color w:val="000000" w:themeColor="text1"/>
                <w:sz w:val="22"/>
                <w:szCs w:val="22"/>
                <w14:textFill>
                  <w14:solidFill>
                    <w14:schemeClr w14:val="tx1"/>
                  </w14:solidFill>
                </w14:textFill>
              </w:rPr>
            </w:pPr>
            <w:r>
              <w:rPr>
                <w:rFonts w:hint="eastAsia" w:asciiTheme="minorEastAsia" w:hAnsiTheme="minorEastAsia" w:eastAsiaTheme="minorEastAsia" w:cstheme="minorEastAsia"/>
                <w:b/>
                <w:color w:val="000000" w:themeColor="text1"/>
                <w:sz w:val="22"/>
                <w:szCs w:val="22"/>
                <w14:textFill>
                  <w14:solidFill>
                    <w14:schemeClr w14:val="tx1"/>
                  </w14:solidFill>
                </w14:textFill>
              </w:rPr>
              <w:t>上午公务访问：</w:t>
            </w:r>
          </w:p>
          <w:p>
            <w:p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加州大学戴维斯分校教学质量卓越中心（</w:t>
            </w:r>
            <w:r>
              <w:rPr>
                <w:rFonts w:hint="eastAsia" w:asciiTheme="minorEastAsia" w:hAnsiTheme="minorEastAsia" w:eastAsiaTheme="minorEastAsia" w:cstheme="minorEastAsia"/>
                <w:b w:val="0"/>
                <w:bCs/>
                <w:color w:val="000000" w:themeColor="text1"/>
                <w:kern w:val="0"/>
                <w:sz w:val="22"/>
                <w:szCs w:val="22"/>
                <w:lang w:val="en-CA"/>
                <w14:textFill>
                  <w14:solidFill>
                    <w14:schemeClr w14:val="tx1"/>
                  </w14:solidFill>
                </w14:textFill>
              </w:rPr>
              <w:t>Center for Educational Effectiveness UC Davis</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w:t>
            </w:r>
          </w:p>
          <w:p>
            <w:pPr>
              <w:pStyle w:val="12"/>
              <w:numPr>
                <w:ilvl w:val="0"/>
                <w:numId w:val="3"/>
              </w:numPr>
              <w:ind w:left="420" w:leftChars="0" w:hanging="420" w:firstLineChars="0"/>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高校教学质量的管理与评估体系</w:t>
            </w:r>
          </w:p>
          <w:p>
            <w:pPr>
              <w:pStyle w:val="12"/>
              <w:numPr>
                <w:ilvl w:val="0"/>
                <w:numId w:val="3"/>
              </w:numPr>
              <w:ind w:left="420" w:leftChars="0" w:hanging="420" w:firstLineChars="0"/>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该中心为教学质量提高所提供的各类资源</w:t>
            </w:r>
          </w:p>
          <w:p>
            <w:pPr>
              <w:pStyle w:val="12"/>
              <w:numPr>
                <w:ilvl w:val="0"/>
                <w:numId w:val="3"/>
              </w:numPr>
              <w:ind w:left="420" w:leftChars="0" w:hanging="420" w:firstLineChars="0"/>
              <w:rPr>
                <w:rFonts w:hint="eastAsia"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探讨高校的教学方式，包括在线教育、混合教育以及使用新技术的其他教学方式</w:t>
            </w:r>
          </w:p>
          <w:p>
            <w:pPr>
              <w:rPr>
                <w:rFonts w:hint="eastAsia" w:asciiTheme="minorEastAsia" w:hAnsiTheme="minorEastAsia" w:eastAsiaTheme="minorEastAsia" w:cstheme="minorEastAsia"/>
                <w:b/>
                <w:color w:val="000000" w:themeColor="text1"/>
                <w:sz w:val="22"/>
                <w:szCs w:val="22"/>
                <w14:textFill>
                  <w14:solidFill>
                    <w14:schemeClr w14:val="tx1"/>
                  </w14:solidFill>
                </w14:textFill>
              </w:rPr>
            </w:pPr>
          </w:p>
          <w:p>
            <w:pPr>
              <w:rPr>
                <w:rFonts w:hint="eastAsia" w:asciiTheme="minorEastAsia" w:hAnsiTheme="minorEastAsia" w:eastAsiaTheme="minorEastAsia" w:cstheme="minorEastAsia"/>
                <w:b/>
                <w:color w:val="000000" w:themeColor="text1"/>
                <w:sz w:val="22"/>
                <w:szCs w:val="22"/>
                <w14:textFill>
                  <w14:solidFill>
                    <w14:schemeClr w14:val="tx1"/>
                  </w14:solidFill>
                </w14:textFill>
              </w:rPr>
            </w:pPr>
            <w:r>
              <w:rPr>
                <w:rFonts w:hint="eastAsia" w:asciiTheme="minorEastAsia" w:hAnsiTheme="minorEastAsia" w:eastAsiaTheme="minorEastAsia" w:cstheme="minorEastAsia"/>
                <w:b/>
                <w:color w:val="000000" w:themeColor="text1"/>
                <w:sz w:val="22"/>
                <w:szCs w:val="22"/>
                <w14:textFill>
                  <w14:solidFill>
                    <w14:schemeClr w14:val="tx1"/>
                  </w14:solidFill>
                </w14:textFill>
              </w:rPr>
              <w:t>下午培训：</w:t>
            </w:r>
          </w:p>
          <w:p>
            <w:pPr>
              <w:rPr>
                <w:rFonts w:hint="eastAsia" w:asciiTheme="minorEastAsia" w:hAnsiTheme="minorEastAsia" w:eastAsiaTheme="minorEastAsia" w:cstheme="minorEastAsia"/>
                <w:b w:val="0"/>
                <w:bCs/>
                <w:color w:val="000000" w:themeColor="text1"/>
                <w:kern w:val="0"/>
                <w:sz w:val="22"/>
                <w:szCs w:val="22"/>
                <w:lang w:val="en-CA"/>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加州大学戴维斯分校食品卫生研究所（</w:t>
            </w:r>
            <w:r>
              <w:rPr>
                <w:rFonts w:hint="eastAsia" w:asciiTheme="minorEastAsia" w:hAnsiTheme="minorEastAsia" w:eastAsiaTheme="minorEastAsia" w:cstheme="minorEastAsia"/>
                <w:b w:val="0"/>
                <w:bCs/>
                <w:color w:val="000000" w:themeColor="text1"/>
                <w:kern w:val="0"/>
                <w:sz w:val="22"/>
                <w:szCs w:val="22"/>
                <w:lang w:val="en-CA"/>
                <w14:textFill>
                  <w14:solidFill>
                    <w14:schemeClr w14:val="tx1"/>
                  </w14:solidFill>
                </w14:textFill>
              </w:rPr>
              <w:t>UC Davis Food for Health Institute ）</w:t>
            </w:r>
          </w:p>
          <w:p>
            <w:pPr>
              <w:pStyle w:val="12"/>
              <w:numPr>
                <w:ilvl w:val="0"/>
                <w:numId w:val="4"/>
              </w:num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该研究所前沿研究项目介绍</w:t>
            </w:r>
          </w:p>
          <w:p>
            <w:pPr>
              <w:pStyle w:val="12"/>
              <w:numPr>
                <w:ilvl w:val="0"/>
                <w:numId w:val="4"/>
              </w:num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该研究所鼓励促进大学内各学科教师跨学科综合研究的实践</w:t>
            </w:r>
          </w:p>
          <w:p>
            <w:pPr>
              <w:rPr>
                <w:rFonts w:hint="eastAsia" w:asciiTheme="minorEastAsia" w:hAnsiTheme="minorEastAsia" w:eastAsiaTheme="minorEastAsia" w:cstheme="minorEastAsia"/>
                <w:color w:val="000000" w:themeColor="text1"/>
                <w:sz w:val="22"/>
                <w:szCs w:val="22"/>
                <w:vertAlign w:val="baseline"/>
                <w:lang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问答</w:t>
            </w: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交流</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环节</w:t>
            </w:r>
          </w:p>
        </w:tc>
        <w:tc>
          <w:tcPr>
            <w:tcW w:w="1094"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7</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六</w:t>
            </w:r>
          </w:p>
        </w:tc>
        <w:tc>
          <w:tcPr>
            <w:tcW w:w="5941"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休息</w:t>
            </w:r>
          </w:p>
        </w:tc>
        <w:tc>
          <w:tcPr>
            <w:tcW w:w="1094"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8</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日</w:t>
            </w:r>
          </w:p>
        </w:tc>
        <w:tc>
          <w:tcPr>
            <w:tcW w:w="5941" w:type="dxa"/>
            <w:vAlign w:val="center"/>
          </w:tcPr>
          <w:p>
            <w:pPr>
              <w:spacing w:line="312" w:lineRule="auto"/>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休息</w:t>
            </w:r>
          </w:p>
        </w:tc>
        <w:tc>
          <w:tcPr>
            <w:tcW w:w="1094"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9</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一</w:t>
            </w:r>
          </w:p>
        </w:tc>
        <w:tc>
          <w:tcPr>
            <w:tcW w:w="5941" w:type="dxa"/>
            <w:vAlign w:val="center"/>
          </w:tcPr>
          <w:p>
            <w:pPr>
              <w:jc w:val="left"/>
              <w:rPr>
                <w:rFonts w:hint="eastAsia" w:asciiTheme="minorEastAsia" w:hAnsiTheme="minorEastAsia" w:eastAsiaTheme="minorEastAsia" w:cstheme="minorEastAsia"/>
                <w:b/>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2"/>
                <w:szCs w:val="22"/>
                <w:lang w:eastAsia="zh-CN"/>
                <w14:textFill>
                  <w14:solidFill>
                    <w14:schemeClr w14:val="tx1"/>
                  </w14:solidFill>
                </w14:textFill>
              </w:rPr>
              <w:t>培训：</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圣何塞</w:t>
            </w: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州立大学</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分校San Jose State University，专家讲座：</w:t>
            </w:r>
          </w:p>
          <w:p>
            <w:pPr>
              <w:widowControl/>
              <w:numPr>
                <w:ilvl w:val="0"/>
                <w:numId w:val="5"/>
              </w:numPr>
              <w:ind w:left="420" w:leftChars="0" w:hanging="420" w:firstLineChars="0"/>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圣荷塞州立大学研究基金会的任务与作用，以及如何支持高校</w:t>
            </w: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科研团队</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与政府、企业及私人基金会合作定向研究及创新的方法与实践。</w:t>
            </w:r>
          </w:p>
          <w:p>
            <w:pPr>
              <w:widowControl/>
              <w:numPr>
                <w:ilvl w:val="0"/>
                <w:numId w:val="6"/>
              </w:numPr>
              <w:ind w:left="420" w:leftChars="0" w:hanging="420" w:firstLineChars="0"/>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案例介绍：最近一个成功的通过基金会完成的外部资助项目：美国市场准入中心（USMAC）</w:t>
            </w:r>
          </w:p>
          <w:p>
            <w:pPr>
              <w:widowControl/>
              <w:numPr>
                <w:numId w:val="0"/>
              </w:numPr>
              <w:ind w:leftChars="0"/>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问答环节</w:t>
            </w:r>
          </w:p>
        </w:tc>
        <w:tc>
          <w:tcPr>
            <w:tcW w:w="1094"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5" w:hRule="atLeast"/>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10</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二</w:t>
            </w:r>
          </w:p>
        </w:tc>
        <w:tc>
          <w:tcPr>
            <w:tcW w:w="5941" w:type="dxa"/>
            <w:vAlign w:val="center"/>
          </w:tcPr>
          <w:p>
            <w:pPr>
              <w:widowControl/>
              <w:jc w:val="left"/>
              <w:rPr>
                <w:rFonts w:hint="eastAsia" w:asciiTheme="minorEastAsia" w:hAnsiTheme="minorEastAsia" w:eastAsiaTheme="minorEastAsia" w:cstheme="minorEastAsia"/>
                <w:b/>
                <w:bCs/>
                <w:color w:val="000000" w:themeColor="text1"/>
                <w:sz w:val="22"/>
                <w:szCs w:val="22"/>
                <w:vertAlign w:val="baseli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vertAlign w:val="baseline"/>
                <w:lang w:eastAsia="zh-CN"/>
                <w14:textFill>
                  <w14:solidFill>
                    <w14:schemeClr w14:val="tx1"/>
                  </w14:solidFill>
                </w14:textFill>
              </w:rPr>
              <w:t>培训</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 xml:space="preserve">由旧金山州立大学San Francisco State University </w:t>
            </w: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学生事务和登记管理办公室</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 xml:space="preserve">-学生事务和登记管理办公室的职能介绍； </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 如何为学生，学院及行政管理者在生活和学习中提供有效的服务；</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 学校资源的创新合理利用，有效地吸引和保留优秀的</w:t>
            </w: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科研</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人才资源</w:t>
            </w:r>
          </w:p>
          <w:p>
            <w:pPr>
              <w:jc w:val="left"/>
              <w:rPr>
                <w:rFonts w:hint="eastAsia" w:asciiTheme="minorEastAsia" w:hAnsiTheme="minorEastAsia" w:eastAsiaTheme="minorEastAsia" w:cstheme="minorEastAsia"/>
                <w:b/>
                <w:bCs/>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问答环节</w:t>
            </w:r>
          </w:p>
        </w:tc>
        <w:tc>
          <w:tcPr>
            <w:tcW w:w="1094"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11</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三</w:t>
            </w:r>
          </w:p>
        </w:tc>
        <w:tc>
          <w:tcPr>
            <w:tcW w:w="5941" w:type="dxa"/>
            <w:vAlign w:val="center"/>
          </w:tcPr>
          <w:p>
            <w:pPr>
              <w:ind w:left="602" w:hanging="663" w:hangingChars="300"/>
              <w:jc w:val="left"/>
              <w:rPr>
                <w:rFonts w:hint="eastAsia" w:asciiTheme="minorEastAsia" w:hAnsiTheme="minorEastAsia" w:eastAsiaTheme="minorEastAsia" w:cstheme="minorEastAsia"/>
                <w:b/>
                <w:color w:val="000000" w:themeColor="text1"/>
                <w:sz w:val="22"/>
                <w:szCs w:val="22"/>
                <w14:textFill>
                  <w14:solidFill>
                    <w14:schemeClr w14:val="tx1"/>
                  </w14:solidFill>
                </w14:textFill>
              </w:rPr>
            </w:pPr>
            <w:r>
              <w:rPr>
                <w:rFonts w:hint="eastAsia" w:asciiTheme="minorEastAsia" w:hAnsiTheme="minorEastAsia" w:eastAsiaTheme="minorEastAsia" w:cstheme="minorEastAsia"/>
                <w:b/>
                <w:color w:val="000000" w:themeColor="text1"/>
                <w:sz w:val="22"/>
                <w:szCs w:val="22"/>
                <w14:textFill>
                  <w14:solidFill>
                    <w14:schemeClr w14:val="tx1"/>
                  </w14:solidFill>
                </w14:textFill>
              </w:rPr>
              <w:t>公务访问：</w:t>
            </w:r>
          </w:p>
          <w:p>
            <w:pP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rPr>
              <w:t>访问</w:t>
            </w:r>
            <w:r>
              <w:rPr>
                <w:rFonts w:hint="eastAsia" w:asciiTheme="minorEastAsia" w:hAnsiTheme="minorEastAsia" w:eastAsiaTheme="minorEastAsia" w:cstheme="minorEastAsia"/>
                <w:sz w:val="22"/>
                <w:szCs w:val="22"/>
                <w:lang w:eastAsia="zh-CN"/>
              </w:rPr>
              <w:t>加州州立大学蒙特利湾分校</w:t>
            </w:r>
          </w:p>
          <w:p>
            <w:pP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California State University, Monterey Bay</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，座谈交流：</w:t>
            </w:r>
          </w:p>
          <w:p>
            <w:pPr>
              <w:widowControl/>
              <w:numPr>
                <w:numId w:val="0"/>
              </w:numPr>
              <w:ind w:leftChars="0"/>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如何理解高校是推进协同创新的重要力量</w:t>
            </w:r>
          </w:p>
          <w:p>
            <w:pPr>
              <w:widowControl/>
              <w:numPr>
                <w:numId w:val="0"/>
              </w:numPr>
              <w:ind w:leftChars="0"/>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美国高校与企业产学研合作模式研究</w:t>
            </w:r>
          </w:p>
          <w:p>
            <w:pPr>
              <w:widowControl/>
              <w:numPr>
                <w:numId w:val="0"/>
              </w:numPr>
              <w:ind w:leftChars="0"/>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跨国公司与高校合作的运作模式及战略意图研究</w:t>
            </w:r>
          </w:p>
          <w:p>
            <w:pPr>
              <w:widowControl/>
              <w:numPr>
                <w:numId w:val="0"/>
              </w:numPr>
              <w:ind w:leftChars="0"/>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全美国高校如何打造高端平台团队，保证创新可持续性。</w:t>
            </w:r>
          </w:p>
        </w:tc>
        <w:tc>
          <w:tcPr>
            <w:tcW w:w="1094"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12</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四</w:t>
            </w:r>
          </w:p>
        </w:tc>
        <w:tc>
          <w:tcPr>
            <w:tcW w:w="5941" w:type="dxa"/>
            <w:vAlign w:val="center"/>
          </w:tcPr>
          <w:p>
            <w:pPr>
              <w:jc w:val="left"/>
              <w:rPr>
                <w:rFonts w:hint="eastAsia" w:asciiTheme="minorEastAsia" w:hAnsiTheme="minorEastAsia" w:eastAsiaTheme="minorEastAsia" w:cstheme="minorEastAsia"/>
                <w:b/>
                <w:color w:val="000000" w:themeColor="text1"/>
                <w:sz w:val="22"/>
                <w:szCs w:val="22"/>
                <w:lang w:val="en-CA"/>
                <w14:textFill>
                  <w14:solidFill>
                    <w14:schemeClr w14:val="tx1"/>
                  </w14:solidFill>
                </w14:textFill>
              </w:rPr>
            </w:pPr>
            <w:r>
              <w:rPr>
                <w:rFonts w:hint="eastAsia" w:asciiTheme="minorEastAsia" w:hAnsiTheme="minorEastAsia" w:eastAsiaTheme="minorEastAsia" w:cstheme="minorEastAsia"/>
                <w:b/>
                <w:color w:val="000000" w:themeColor="text1"/>
                <w:sz w:val="22"/>
                <w:szCs w:val="22"/>
                <w:lang w:val="en-CA"/>
                <w14:textFill>
                  <w14:solidFill>
                    <w14:schemeClr w14:val="tx1"/>
                  </w14:solidFill>
                </w14:textFill>
              </w:rPr>
              <w:t>公务</w:t>
            </w:r>
            <w:r>
              <w:rPr>
                <w:rFonts w:hint="eastAsia" w:asciiTheme="minorEastAsia" w:hAnsiTheme="minorEastAsia" w:eastAsiaTheme="minorEastAsia" w:cstheme="minorEastAsia"/>
                <w:b/>
                <w:color w:val="000000" w:themeColor="text1"/>
                <w:sz w:val="22"/>
                <w:szCs w:val="22"/>
                <w:lang w:val="en-CA" w:eastAsia="zh-CN"/>
                <w14:textFill>
                  <w14:solidFill>
                    <w14:schemeClr w14:val="tx1"/>
                  </w14:solidFill>
                </w14:textFill>
              </w:rPr>
              <w:t>访问</w:t>
            </w:r>
            <w:r>
              <w:rPr>
                <w:rFonts w:hint="eastAsia" w:asciiTheme="minorEastAsia" w:hAnsiTheme="minorEastAsia" w:eastAsiaTheme="minorEastAsia" w:cstheme="minorEastAsia"/>
                <w:b/>
                <w:color w:val="000000" w:themeColor="text1"/>
                <w:sz w:val="22"/>
                <w:szCs w:val="22"/>
                <w:lang w:val="en-CA"/>
                <w14:textFill>
                  <w14:solidFill>
                    <w14:schemeClr w14:val="tx1"/>
                  </w14:solidFill>
                </w14:textFill>
              </w:rPr>
              <w:t>：</w:t>
            </w:r>
          </w:p>
          <w:p>
            <w:pPr>
              <w:jc w:val="left"/>
              <w:rPr>
                <w:rFonts w:hint="eastAsia" w:asciiTheme="minorEastAsia" w:hAnsiTheme="minorEastAsia" w:eastAsiaTheme="minorEastAsia" w:cstheme="minorEastAsia"/>
                <w:b w:val="0"/>
                <w:bCs/>
                <w:color w:val="000000"/>
                <w:sz w:val="22"/>
                <w:szCs w:val="22"/>
              </w:rPr>
            </w:pPr>
            <w:r>
              <w:rPr>
                <w:rFonts w:hint="eastAsia" w:asciiTheme="minorEastAsia" w:hAnsiTheme="minorEastAsia" w:eastAsiaTheme="minorEastAsia" w:cstheme="minorEastAsia"/>
                <w:b w:val="0"/>
                <w:bCs/>
                <w:color w:val="000000"/>
                <w:sz w:val="22"/>
                <w:szCs w:val="22"/>
              </w:rPr>
              <w:t>访问斯坦福大学，学习交流：</w:t>
            </w:r>
          </w:p>
          <w:p>
            <w:pPr>
              <w:pStyle w:val="9"/>
              <w:numPr>
                <w:ilvl w:val="0"/>
                <w:numId w:val="7"/>
              </w:numPr>
              <w:spacing w:after="0" w:line="240" w:lineRule="auto"/>
              <w:ind w:left="420" w:leftChars="0" w:hanging="420" w:firstLineChars="0"/>
              <w:jc w:val="left"/>
              <w:rPr>
                <w:rFonts w:hint="eastAsia" w:asciiTheme="minorEastAsia" w:hAnsiTheme="minorEastAsia" w:eastAsiaTheme="minorEastAsia" w:cstheme="minorEastAsia"/>
                <w:b w:val="0"/>
                <w:bCs/>
                <w:color w:val="000000"/>
                <w:sz w:val="22"/>
                <w:szCs w:val="22"/>
              </w:rPr>
            </w:pPr>
            <w:r>
              <w:rPr>
                <w:rFonts w:hint="eastAsia" w:asciiTheme="minorEastAsia" w:hAnsiTheme="minorEastAsia" w:eastAsiaTheme="minorEastAsia" w:cstheme="minorEastAsia"/>
                <w:b w:val="0"/>
                <w:bCs/>
                <w:color w:val="000000"/>
                <w:sz w:val="22"/>
                <w:szCs w:val="22"/>
              </w:rPr>
              <w:t xml:space="preserve">美国大学对基础研究的重视及解读 </w:t>
            </w:r>
          </w:p>
          <w:p>
            <w:pPr>
              <w:pStyle w:val="9"/>
              <w:numPr>
                <w:ilvl w:val="0"/>
                <w:numId w:val="7"/>
              </w:numPr>
              <w:spacing w:after="0" w:line="240" w:lineRule="auto"/>
              <w:ind w:left="420" w:leftChars="0" w:hanging="420" w:firstLineChars="0"/>
              <w:jc w:val="left"/>
              <w:rPr>
                <w:rFonts w:hint="eastAsia" w:asciiTheme="minorEastAsia" w:hAnsiTheme="minorEastAsia" w:eastAsiaTheme="minorEastAsia" w:cstheme="minorEastAsia"/>
                <w:b w:val="0"/>
                <w:bCs/>
                <w:color w:val="000000"/>
                <w:sz w:val="22"/>
                <w:szCs w:val="22"/>
              </w:rPr>
            </w:pPr>
            <w:r>
              <w:rPr>
                <w:rFonts w:hint="eastAsia" w:asciiTheme="minorEastAsia" w:hAnsiTheme="minorEastAsia" w:eastAsiaTheme="minorEastAsia" w:cstheme="minorEastAsia"/>
                <w:b w:val="0"/>
                <w:bCs/>
                <w:color w:val="000000"/>
                <w:sz w:val="22"/>
                <w:szCs w:val="22"/>
              </w:rPr>
              <w:t>高校科研成果产业化和产学研相结合的成功途径</w:t>
            </w:r>
          </w:p>
          <w:p>
            <w:pPr>
              <w:pStyle w:val="9"/>
              <w:numPr>
                <w:ilvl w:val="0"/>
                <w:numId w:val="7"/>
              </w:numPr>
              <w:spacing w:after="0" w:line="240" w:lineRule="auto"/>
              <w:ind w:left="420" w:leftChars="0" w:hanging="420" w:firstLineChars="0"/>
              <w:jc w:val="left"/>
              <w:rPr>
                <w:rFonts w:hint="eastAsia" w:asciiTheme="minorEastAsia" w:hAnsiTheme="minorEastAsia" w:eastAsiaTheme="minorEastAsia" w:cstheme="minorEastAsia"/>
                <w:b w:val="0"/>
                <w:bCs/>
                <w:color w:val="000000"/>
                <w:sz w:val="22"/>
                <w:szCs w:val="22"/>
              </w:rPr>
            </w:pPr>
            <w:r>
              <w:rPr>
                <w:rFonts w:hint="eastAsia" w:asciiTheme="minorEastAsia" w:hAnsiTheme="minorEastAsia" w:eastAsiaTheme="minorEastAsia" w:cstheme="minorEastAsia"/>
                <w:b w:val="0"/>
                <w:bCs/>
                <w:color w:val="000000"/>
                <w:sz w:val="22"/>
                <w:szCs w:val="22"/>
              </w:rPr>
              <w:t>“工业-大学联合研究中心计划”</w:t>
            </w:r>
          </w:p>
          <w:p>
            <w:pPr>
              <w:pStyle w:val="9"/>
              <w:numPr>
                <w:ilvl w:val="0"/>
                <w:numId w:val="7"/>
              </w:numPr>
              <w:spacing w:after="0" w:line="240" w:lineRule="auto"/>
              <w:ind w:left="420" w:leftChars="0" w:hanging="420" w:firstLineChars="0"/>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b w:val="0"/>
                <w:bCs/>
                <w:sz w:val="22"/>
                <w:szCs w:val="22"/>
                <w:lang w:eastAsia="zh-CN"/>
              </w:rPr>
              <w:t>了解该校如何</w:t>
            </w:r>
            <w:r>
              <w:rPr>
                <w:rFonts w:hint="eastAsia" w:asciiTheme="minorEastAsia" w:hAnsiTheme="minorEastAsia" w:eastAsiaTheme="minorEastAsia" w:cstheme="minorEastAsia"/>
                <w:b w:val="0"/>
                <w:bCs/>
                <w:sz w:val="22"/>
                <w:szCs w:val="22"/>
              </w:rPr>
              <w:t>致力于将大学科研成果推广应用到工业生产中所做的努力，以及如何激发，鼓励和支持教师，学生的研究能力不断在各项科研领域创新。</w:t>
            </w:r>
          </w:p>
        </w:tc>
        <w:tc>
          <w:tcPr>
            <w:tcW w:w="1094"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13</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五</w:t>
            </w:r>
          </w:p>
        </w:tc>
        <w:tc>
          <w:tcPr>
            <w:tcW w:w="5941" w:type="dxa"/>
            <w:vAlign w:val="center"/>
          </w:tcPr>
          <w:p>
            <w:pPr>
              <w:jc w:val="left"/>
              <w:rPr>
                <w:rFonts w:hint="eastAsia" w:asciiTheme="minorEastAsia" w:hAnsiTheme="minorEastAsia" w:eastAsiaTheme="minorEastAsia" w:cstheme="minorEastAsia"/>
                <w:b/>
                <w:bCs w:val="0"/>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b/>
                <w:bCs w:val="0"/>
                <w:color w:val="000000" w:themeColor="text1"/>
                <w:sz w:val="22"/>
                <w:szCs w:val="22"/>
                <w:lang w:eastAsia="zh-CN"/>
                <w14:textFill>
                  <w14:solidFill>
                    <w14:schemeClr w14:val="tx1"/>
                  </w14:solidFill>
                </w14:textFill>
              </w:rPr>
              <w:t>培训</w:t>
            </w:r>
            <w:r>
              <w:rPr>
                <w:rFonts w:hint="eastAsia" w:asciiTheme="minorEastAsia" w:hAnsiTheme="minorEastAsia" w:eastAsiaTheme="minorEastAsia" w:cstheme="minorEastAsia"/>
                <w:b/>
                <w:bCs w:val="0"/>
                <w:color w:val="000000" w:themeColor="text1"/>
                <w:sz w:val="22"/>
                <w:szCs w:val="22"/>
                <w:lang w:eastAsia="zh-CN"/>
                <w14:textFill>
                  <w14:solidFill>
                    <w14:schemeClr w14:val="tx1"/>
                  </w14:solidFill>
                </w14:textFill>
              </w:rPr>
              <w:t>：</w:t>
            </w:r>
          </w:p>
          <w:p>
            <w:pPr>
              <w:jc w:val="left"/>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上午：</w:t>
            </w:r>
          </w:p>
          <w:p>
            <w:pPr>
              <w:jc w:val="left"/>
              <w:rPr>
                <w:rFonts w:hint="eastAsia" w:asciiTheme="minorEastAsia" w:hAnsiTheme="minorEastAsia" w:eastAsiaTheme="minorEastAsia" w:cstheme="minorEastAsia"/>
                <w:b w:val="0"/>
                <w:bCs/>
                <w:i w:val="0"/>
                <w:iCs w:val="0"/>
                <w:sz w:val="22"/>
                <w:szCs w:val="22"/>
              </w:rPr>
            </w:pPr>
            <w:r>
              <w:rPr>
                <w:rFonts w:hint="eastAsia" w:asciiTheme="minorEastAsia" w:hAnsiTheme="minorEastAsia" w:eastAsiaTheme="minorEastAsia" w:cstheme="minorEastAsia"/>
                <w:b w:val="0"/>
                <w:bCs/>
                <w:i w:val="0"/>
                <w:iCs w:val="0"/>
                <w:sz w:val="22"/>
                <w:szCs w:val="22"/>
                <w:lang w:eastAsia="zh-CN"/>
              </w:rPr>
              <w:t>加州大学伯克利分校</w:t>
            </w:r>
            <w:r>
              <w:rPr>
                <w:rFonts w:hint="eastAsia" w:asciiTheme="minorEastAsia" w:hAnsiTheme="minorEastAsia" w:eastAsiaTheme="minorEastAsia" w:cstheme="minorEastAsia"/>
                <w:b w:val="0"/>
                <w:bCs/>
                <w:i w:val="0"/>
                <w:iCs w:val="0"/>
                <w:sz w:val="22"/>
                <w:szCs w:val="22"/>
              </w:rPr>
              <w:t>UC Berkeley</w:t>
            </w:r>
          </w:p>
          <w:p>
            <w:pPr>
              <w:jc w:val="left"/>
              <w:rPr>
                <w:rFonts w:hint="eastAsia" w:asciiTheme="minorEastAsia" w:hAnsiTheme="minorEastAsia" w:eastAsiaTheme="minorEastAsia" w:cstheme="minorEastAsia"/>
                <w:b w:val="0"/>
                <w:bCs/>
                <w:i w:val="0"/>
                <w:iCs w:val="0"/>
                <w:sz w:val="22"/>
                <w:szCs w:val="22"/>
              </w:rPr>
            </w:pPr>
            <w:r>
              <w:rPr>
                <w:rFonts w:hint="eastAsia" w:asciiTheme="minorEastAsia" w:hAnsiTheme="minorEastAsia" w:eastAsiaTheme="minorEastAsia" w:cstheme="minorEastAsia"/>
                <w:b w:val="0"/>
                <w:bCs/>
                <w:i w:val="0"/>
                <w:iCs w:val="0"/>
                <w:sz w:val="22"/>
                <w:szCs w:val="22"/>
              </w:rPr>
              <w:t>加州伯克利大学高等教育研究中心Center for Studies in Higher Education：</w:t>
            </w:r>
          </w:p>
          <w:p>
            <w:pPr>
              <w:jc w:val="left"/>
              <w:rPr>
                <w:rFonts w:hint="eastAsia" w:asciiTheme="minorEastAsia" w:hAnsiTheme="minorEastAsia" w:eastAsiaTheme="minorEastAsia" w:cstheme="minorEastAsia"/>
                <w:b/>
                <w:sz w:val="22"/>
                <w:szCs w:val="22"/>
                <w:lang w:eastAsia="zh-CN"/>
              </w:rPr>
            </w:pPr>
            <w:r>
              <w:rPr>
                <w:rFonts w:hint="eastAsia" w:asciiTheme="minorEastAsia" w:hAnsiTheme="minorEastAsia" w:eastAsiaTheme="minorEastAsia" w:cstheme="minorEastAsia"/>
                <w:b w:val="0"/>
                <w:bCs/>
                <w:i w:val="0"/>
                <w:iCs w:val="0"/>
                <w:sz w:val="22"/>
                <w:szCs w:val="22"/>
              </w:rPr>
              <w:t>“数字时代的高等教育”领域的研究课题，</w:t>
            </w:r>
            <w:r>
              <w:rPr>
                <w:rFonts w:hint="eastAsia" w:asciiTheme="minorEastAsia" w:hAnsiTheme="minorEastAsia" w:eastAsiaTheme="minorEastAsia" w:cstheme="minorEastAsia"/>
                <w:b w:val="0"/>
                <w:bCs/>
                <w:i w:val="0"/>
                <w:iCs w:val="0"/>
                <w:sz w:val="22"/>
                <w:szCs w:val="22"/>
                <w:lang w:eastAsia="zh-CN"/>
              </w:rPr>
              <w:t>与</w:t>
            </w:r>
            <w:r>
              <w:rPr>
                <w:rFonts w:hint="eastAsia" w:asciiTheme="minorEastAsia" w:hAnsiTheme="minorEastAsia" w:eastAsiaTheme="minorEastAsia" w:cstheme="minorEastAsia"/>
                <w:b w:val="0"/>
                <w:bCs/>
                <w:i w:val="0"/>
                <w:iCs w:val="0"/>
                <w:sz w:val="22"/>
                <w:szCs w:val="22"/>
              </w:rPr>
              <w:t>工程</w:t>
            </w:r>
            <w:r>
              <w:rPr>
                <w:rFonts w:hint="eastAsia" w:asciiTheme="minorEastAsia" w:hAnsiTheme="minorEastAsia" w:eastAsiaTheme="minorEastAsia" w:cstheme="minorEastAsia"/>
                <w:b w:val="0"/>
                <w:bCs/>
                <w:i w:val="0"/>
                <w:iCs w:val="0"/>
                <w:sz w:val="22"/>
                <w:szCs w:val="22"/>
                <w:lang w:eastAsia="zh-CN"/>
              </w:rPr>
              <w:t>、</w:t>
            </w:r>
            <w:r>
              <w:rPr>
                <w:rFonts w:hint="eastAsia" w:asciiTheme="minorEastAsia" w:hAnsiTheme="minorEastAsia" w:eastAsiaTheme="minorEastAsia" w:cstheme="minorEastAsia"/>
                <w:b w:val="0"/>
                <w:bCs/>
                <w:i w:val="0"/>
                <w:iCs w:val="0"/>
                <w:sz w:val="22"/>
                <w:szCs w:val="22"/>
              </w:rPr>
              <w:t>技术教育相关</w:t>
            </w:r>
            <w:r>
              <w:rPr>
                <w:rFonts w:hint="eastAsia" w:asciiTheme="minorEastAsia" w:hAnsiTheme="minorEastAsia" w:eastAsiaTheme="minorEastAsia" w:cstheme="minorEastAsia"/>
                <w:b w:val="0"/>
                <w:bCs/>
                <w:i w:val="0"/>
                <w:iCs w:val="0"/>
                <w:sz w:val="22"/>
                <w:szCs w:val="22"/>
                <w:lang w:eastAsia="zh-CN"/>
              </w:rPr>
              <w:t>课题</w:t>
            </w:r>
            <w:r>
              <w:rPr>
                <w:rFonts w:hint="eastAsia" w:asciiTheme="minorEastAsia" w:hAnsiTheme="minorEastAsia" w:eastAsiaTheme="minorEastAsia" w:cstheme="minorEastAsia"/>
                <w:b w:val="0"/>
                <w:bCs/>
                <w:i w:val="0"/>
                <w:iCs w:val="0"/>
                <w:sz w:val="22"/>
                <w:szCs w:val="22"/>
              </w:rPr>
              <w:t>，包括课程设计，开发和评估等。</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下午：</w:t>
            </w:r>
          </w:p>
          <w:p>
            <w:pPr>
              <w:jc w:val="left"/>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培训讨论、总结</w:t>
            </w:r>
          </w:p>
          <w:p>
            <w:pPr>
              <w:jc w:val="left"/>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头脑风暴：以创新思维引领</w:t>
            </w: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高校科研创新团队建设</w:t>
            </w:r>
          </w:p>
        </w:tc>
        <w:tc>
          <w:tcPr>
            <w:tcW w:w="1094"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14</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六</w:t>
            </w:r>
          </w:p>
        </w:tc>
        <w:tc>
          <w:tcPr>
            <w:tcW w:w="5941" w:type="dxa"/>
            <w:vAlign w:val="center"/>
          </w:tcPr>
          <w:p>
            <w:pPr>
              <w:jc w:val="left"/>
              <w:rPr>
                <w:rFonts w:hint="eastAsia" w:asciiTheme="minorEastAsia" w:hAnsiTheme="minorEastAsia" w:eastAsiaTheme="minorEastAsia" w:cstheme="minorEastAsia"/>
                <w:color w:val="000000" w:themeColor="text1"/>
                <w:sz w:val="22"/>
                <w:szCs w:val="22"/>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eastAsia="zh-CN"/>
                <w14:textFill>
                  <w14:solidFill>
                    <w14:schemeClr w14:val="tx1"/>
                  </w14:solidFill>
                </w14:textFill>
              </w:rPr>
              <w:t>休息</w:t>
            </w:r>
          </w:p>
        </w:tc>
        <w:tc>
          <w:tcPr>
            <w:tcW w:w="1094"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eastAsia="zh-CN"/>
                <w14:textFill>
                  <w14:solidFill>
                    <w14:schemeClr w14:val="tx1"/>
                  </w14:solidFill>
                </w14:textFill>
              </w:rPr>
              <w:t>旧金山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15</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日</w:t>
            </w:r>
          </w:p>
        </w:tc>
        <w:tc>
          <w:tcPr>
            <w:tcW w:w="5941" w:type="dxa"/>
            <w:vAlign w:val="center"/>
          </w:tcPr>
          <w:p>
            <w:pPr>
              <w:jc w:val="left"/>
              <w:rPr>
                <w:rFonts w:hint="eastAsia" w:asciiTheme="minorEastAsia" w:hAnsiTheme="minorEastAsia" w:eastAsiaTheme="minorEastAsia" w:cstheme="minorEastAsia"/>
                <w:color w:val="000000" w:themeColor="text1"/>
                <w:sz w:val="22"/>
                <w:szCs w:val="22"/>
                <w:vertAlign w:val="baseli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eastAsia="zh-CN"/>
                <w14:textFill>
                  <w14:solidFill>
                    <w14:schemeClr w14:val="tx1"/>
                  </w14:solidFill>
                </w14:textFill>
              </w:rPr>
              <w:t>早餐后，乘机前往洛杉矶</w:t>
            </w:r>
          </w:p>
        </w:tc>
        <w:tc>
          <w:tcPr>
            <w:tcW w:w="1094"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旧金山</w:t>
            </w: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-洛杉矶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16</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一</w:t>
            </w:r>
          </w:p>
        </w:tc>
        <w:tc>
          <w:tcPr>
            <w:tcW w:w="5941" w:type="dxa"/>
            <w:vAlign w:val="center"/>
          </w:tcPr>
          <w:p>
            <w:p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访问加州州立大学洛杉矶分校工程与计算机科技学院（</w:t>
            </w:r>
            <w:r>
              <w:rPr>
                <w:rFonts w:hint="eastAsia" w:asciiTheme="minorEastAsia" w:hAnsiTheme="minorEastAsia" w:eastAsiaTheme="minorEastAsia" w:cstheme="minorEastAsia"/>
                <w:b w:val="0"/>
                <w:bCs/>
                <w:color w:val="000000" w:themeColor="text1"/>
                <w:kern w:val="0"/>
                <w:sz w:val="22"/>
                <w:szCs w:val="22"/>
                <w:lang w:val="en-CA"/>
                <w14:textFill>
                  <w14:solidFill>
                    <w14:schemeClr w14:val="tx1"/>
                  </w14:solidFill>
                </w14:textFill>
              </w:rPr>
              <w:t>Cal State LA, College of Engineering, Computer Science, and Technology</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），交流学习：</w:t>
            </w:r>
          </w:p>
          <w:p>
            <w:pPr>
              <w:pStyle w:val="12"/>
              <w:numPr>
                <w:ilvl w:val="0"/>
                <w:numId w:val="4"/>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该学院的各个部门及其相关前沿研究项目</w:t>
            </w:r>
          </w:p>
          <w:p>
            <w:pPr>
              <w:pStyle w:val="12"/>
              <w:numPr>
                <w:ilvl w:val="0"/>
                <w:numId w:val="4"/>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学院开设的新兴产业相关课程</w:t>
            </w:r>
          </w:p>
          <w:p>
            <w:pPr>
              <w:pStyle w:val="12"/>
              <w:numPr>
                <w:ilvl w:val="0"/>
                <w:numId w:val="4"/>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学院独特的专业实践项目和成功案例</w:t>
            </w:r>
          </w:p>
          <w:p>
            <w:pPr>
              <w:contextualSpacing/>
              <w:rPr>
                <w:rFonts w:hint="eastAsia" w:asciiTheme="minorEastAsia" w:hAnsiTheme="minorEastAsia" w:eastAsiaTheme="minorEastAsia" w:cstheme="minorEastAsia"/>
                <w:b w:val="0"/>
                <w:bCs/>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问答环节</w:t>
            </w:r>
          </w:p>
        </w:tc>
        <w:tc>
          <w:tcPr>
            <w:tcW w:w="1094"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洛杉矶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00"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17</w:t>
            </w:r>
          </w:p>
        </w:tc>
        <w:tc>
          <w:tcPr>
            <w:tcW w:w="945" w:type="dxa"/>
            <w:vAlign w:val="center"/>
          </w:tcPr>
          <w:p>
            <w:pPr>
              <w:spacing w:line="400" w:lineRule="exact"/>
              <w:ind w:firstLine="110" w:firstLineChars="50"/>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二</w:t>
            </w:r>
          </w:p>
        </w:tc>
        <w:tc>
          <w:tcPr>
            <w:tcW w:w="5941" w:type="dxa"/>
            <w:vAlign w:val="center"/>
          </w:tcPr>
          <w:p>
            <w:pPr>
              <w:contextualSpacing/>
              <w:rPr>
                <w:rFonts w:hint="eastAsia" w:asciiTheme="minorEastAsia" w:hAnsiTheme="minorEastAsia" w:eastAsiaTheme="minorEastAsia" w:cstheme="minorEastAsia"/>
                <w:b/>
                <w:bCs w:val="0"/>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val="0"/>
                <w:color w:val="000000" w:themeColor="text1"/>
                <w:sz w:val="22"/>
                <w:szCs w:val="22"/>
                <w14:textFill>
                  <w14:solidFill>
                    <w14:schemeClr w14:val="tx1"/>
                  </w14:solidFill>
                </w14:textFill>
              </w:rPr>
              <w:t>培训</w:t>
            </w:r>
          </w:p>
          <w:p>
            <w:pPr>
              <w:contextualSpacing/>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lang w:eastAsia="zh-CN"/>
                <w14:textFill>
                  <w14:solidFill>
                    <w14:schemeClr w14:val="tx1"/>
                  </w14:solidFill>
                </w14:textFill>
              </w:rPr>
              <w:t>上午</w:t>
            </w: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w:t>
            </w:r>
          </w:p>
          <w:p>
            <w:p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加州大学洛杉矶分校人事管理部（</w:t>
            </w:r>
            <w:r>
              <w:rPr>
                <w:rFonts w:hint="eastAsia" w:asciiTheme="minorEastAsia" w:hAnsiTheme="minorEastAsia" w:eastAsiaTheme="minorEastAsia" w:cstheme="minorEastAsia"/>
                <w:b w:val="0"/>
                <w:bCs/>
                <w:color w:val="000000" w:themeColor="text1"/>
                <w:kern w:val="0"/>
                <w:sz w:val="22"/>
                <w:szCs w:val="22"/>
                <w:lang w:val="en-CA"/>
                <w14:textFill>
                  <w14:solidFill>
                    <w14:schemeClr w14:val="tx1"/>
                  </w14:solidFill>
                </w14:textFill>
              </w:rPr>
              <w:t>UCLA Academic Personnel Office</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w:t>
            </w:r>
          </w:p>
          <w:p>
            <w:pPr>
              <w:pStyle w:val="12"/>
              <w:numPr>
                <w:ilvl w:val="0"/>
                <w:numId w:val="4"/>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高校顶级科研人才的管理和激励制度</w:t>
            </w:r>
          </w:p>
          <w:p>
            <w:p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问答环节</w:t>
            </w:r>
          </w:p>
          <w:p>
            <w:p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p>
          <w:p>
            <w:p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下午</w:t>
            </w:r>
            <w:r>
              <w:rPr>
                <w:rFonts w:hint="eastAsia" w:asciiTheme="minorEastAsia" w:hAnsiTheme="minorEastAsia" w:eastAsiaTheme="minorEastAsia" w:cstheme="minorEastAsia"/>
                <w:b w:val="0"/>
                <w:bCs/>
                <w:color w:val="000000" w:themeColor="text1"/>
                <w:sz w:val="22"/>
                <w:szCs w:val="22"/>
                <w:lang w:val="en-US" w:eastAsia="zh-CN"/>
                <w14:textFill>
                  <w14:solidFill>
                    <w14:schemeClr w14:val="tx1"/>
                  </w14:solidFill>
                </w14:textFill>
              </w:rPr>
              <w:t>:</w:t>
            </w:r>
          </w:p>
          <w:p>
            <w:p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访问南加州大学维特比工程学院（</w:t>
            </w:r>
            <w:r>
              <w:rPr>
                <w:rFonts w:hint="eastAsia" w:asciiTheme="minorEastAsia" w:hAnsiTheme="minorEastAsia" w:eastAsiaTheme="minorEastAsia" w:cstheme="minorEastAsia"/>
                <w:b w:val="0"/>
                <w:bCs/>
                <w:color w:val="000000" w:themeColor="text1"/>
                <w:kern w:val="0"/>
                <w:sz w:val="22"/>
                <w:szCs w:val="22"/>
                <w:lang w:val="en-CA"/>
                <w14:textFill>
                  <w14:solidFill>
                    <w14:schemeClr w14:val="tx1"/>
                  </w14:solidFill>
                </w14:textFill>
              </w:rPr>
              <w:t>UCS Viterbi School of Engineering</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）,交流学习：</w:t>
            </w:r>
          </w:p>
          <w:p>
            <w:pPr>
              <w:pStyle w:val="12"/>
              <w:numPr>
                <w:ilvl w:val="0"/>
                <w:numId w:val="4"/>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学院概况及其前沿科研项目</w:t>
            </w:r>
          </w:p>
          <w:p>
            <w:pPr>
              <w:pStyle w:val="12"/>
              <w:numPr>
                <w:ilvl w:val="0"/>
                <w:numId w:val="4"/>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结合新兴产业的课程及专业设置</w:t>
            </w:r>
          </w:p>
          <w:p>
            <w:pPr>
              <w:pStyle w:val="12"/>
              <w:numPr>
                <w:ilvl w:val="0"/>
                <w:numId w:val="4"/>
              </w:numPr>
              <w:contextualSpacing/>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学院与产业界产学研结合的模式及科研成果商业化的过程及成功案例分析</w:t>
            </w:r>
          </w:p>
          <w:p>
            <w:pPr>
              <w:contextualSpacing/>
              <w:rPr>
                <w:rFonts w:hint="eastAsia" w:asciiTheme="minorEastAsia" w:hAnsiTheme="minorEastAsia" w:eastAsiaTheme="minorEastAsia" w:cstheme="minorEastAsia"/>
                <w:b w:val="0"/>
                <w:bCs/>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问答环节</w:t>
            </w:r>
          </w:p>
        </w:tc>
        <w:tc>
          <w:tcPr>
            <w:tcW w:w="1094"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洛杉矶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18</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三</w:t>
            </w:r>
          </w:p>
        </w:tc>
        <w:tc>
          <w:tcPr>
            <w:tcW w:w="5941" w:type="dxa"/>
            <w:vAlign w:val="center"/>
          </w:tcPr>
          <w:p>
            <w:pPr>
              <w:rPr>
                <w:rFonts w:hint="eastAsia" w:asciiTheme="minorEastAsia" w:hAnsiTheme="minorEastAsia" w:eastAsiaTheme="minorEastAsia" w:cstheme="minorEastAsia"/>
                <w:b/>
                <w:bCs w:val="0"/>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val="0"/>
                <w:color w:val="000000" w:themeColor="text1"/>
                <w:sz w:val="22"/>
                <w:szCs w:val="22"/>
                <w14:textFill>
                  <w14:solidFill>
                    <w14:schemeClr w14:val="tx1"/>
                  </w14:solidFill>
                </w14:textFill>
              </w:rPr>
              <w:t>公务访问</w:t>
            </w:r>
            <w:r>
              <w:rPr>
                <w:rFonts w:hint="eastAsia" w:asciiTheme="minorEastAsia" w:hAnsiTheme="minorEastAsia" w:eastAsiaTheme="minorEastAsia" w:cstheme="minorEastAsia"/>
                <w:b/>
                <w:bCs w:val="0"/>
                <w:color w:val="000000" w:themeColor="text1"/>
                <w:sz w:val="22"/>
                <w:szCs w:val="22"/>
                <w:lang w:eastAsia="zh-CN"/>
                <w14:textFill>
                  <w14:solidFill>
                    <w14:schemeClr w14:val="tx1"/>
                  </w14:solidFill>
                </w14:textFill>
              </w:rPr>
              <w:t>：</w:t>
            </w:r>
          </w:p>
          <w:p>
            <w:p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访问加州州立大学北岭分校工程及计算机学院（</w:t>
            </w:r>
            <w:r>
              <w:rPr>
                <w:rFonts w:hint="eastAsia" w:asciiTheme="minorEastAsia" w:hAnsiTheme="minorEastAsia" w:eastAsiaTheme="minorEastAsia" w:cstheme="minorEastAsia"/>
                <w:b w:val="0"/>
                <w:bCs/>
                <w:color w:val="000000" w:themeColor="text1"/>
                <w:kern w:val="0"/>
                <w:sz w:val="22"/>
                <w:szCs w:val="22"/>
                <w:lang w:val="en-CA"/>
                <w14:textFill>
                  <w14:solidFill>
                    <w14:schemeClr w14:val="tx1"/>
                  </w14:solidFill>
                </w14:textFill>
              </w:rPr>
              <w:t>CSU Northridge, College of Engineering and Computer Science</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），交流学习：</w:t>
            </w:r>
          </w:p>
          <w:p>
            <w:pPr>
              <w:pStyle w:val="12"/>
              <w:numPr>
                <w:ilvl w:val="0"/>
                <w:numId w:val="4"/>
              </w:num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学院结合课本与实际动手能力相结合的创新教学模式</w:t>
            </w:r>
          </w:p>
          <w:p>
            <w:pPr>
              <w:pStyle w:val="12"/>
              <w:numPr>
                <w:ilvl w:val="0"/>
                <w:numId w:val="4"/>
              </w:num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介绍该学院的艾尔尼谢弗创新创业中心和能源研究中心</w:t>
            </w:r>
          </w:p>
          <w:p>
            <w:pPr>
              <w:pStyle w:val="12"/>
              <w:numPr>
                <w:ilvl w:val="0"/>
                <w:numId w:val="4"/>
              </w:num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学院最新的产业与学术合作的科研开发项目</w:t>
            </w:r>
          </w:p>
          <w:p>
            <w:pPr>
              <w:pStyle w:val="12"/>
              <w:numPr>
                <w:ilvl w:val="0"/>
                <w:numId w:val="4"/>
              </w:num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学院在鼓励培养教师科研能力所实行的措施</w:t>
            </w:r>
          </w:p>
          <w:p>
            <w:pPr>
              <w:rPr>
                <w:rFonts w:hint="eastAsia" w:asciiTheme="minorEastAsia" w:hAnsiTheme="minorEastAsia" w:eastAsiaTheme="minorEastAsia" w:cstheme="minorEastAsia"/>
                <w:b w:val="0"/>
                <w:bCs/>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问答环节</w:t>
            </w:r>
          </w:p>
        </w:tc>
        <w:tc>
          <w:tcPr>
            <w:tcW w:w="1094" w:type="dxa"/>
            <w:vAlign w:val="center"/>
          </w:tcPr>
          <w:p>
            <w:pPr>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洛杉矶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00"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19</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四</w:t>
            </w:r>
          </w:p>
        </w:tc>
        <w:tc>
          <w:tcPr>
            <w:tcW w:w="5941" w:type="dxa"/>
            <w:vAlign w:val="center"/>
          </w:tcPr>
          <w:p>
            <w:pPr>
              <w:rPr>
                <w:rFonts w:hint="eastAsia" w:asciiTheme="minorEastAsia" w:hAnsiTheme="minorEastAsia" w:eastAsiaTheme="minorEastAsia" w:cstheme="minorEastAsia"/>
                <w:b/>
                <w:bCs w:val="0"/>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val="0"/>
                <w:color w:val="000000" w:themeColor="text1"/>
                <w:sz w:val="22"/>
                <w:szCs w:val="22"/>
                <w14:textFill>
                  <w14:solidFill>
                    <w14:schemeClr w14:val="tx1"/>
                  </w14:solidFill>
                </w14:textFill>
              </w:rPr>
              <w:t>公务访问</w:t>
            </w:r>
            <w:r>
              <w:rPr>
                <w:rFonts w:hint="eastAsia" w:asciiTheme="minorEastAsia" w:hAnsiTheme="minorEastAsia" w:eastAsiaTheme="minorEastAsia" w:cstheme="minorEastAsia"/>
                <w:b/>
                <w:bCs w:val="0"/>
                <w:color w:val="000000" w:themeColor="text1"/>
                <w:sz w:val="22"/>
                <w:szCs w:val="22"/>
                <w:lang w:eastAsia="zh-CN"/>
                <w14:textFill>
                  <w14:solidFill>
                    <w14:schemeClr w14:val="tx1"/>
                  </w14:solidFill>
                </w14:textFill>
              </w:rPr>
              <w:t>：</w:t>
            </w:r>
          </w:p>
          <w:p>
            <w:p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访问南加州大学瑞格里环境研究中心（</w:t>
            </w:r>
            <w:r>
              <w:rPr>
                <w:rFonts w:hint="eastAsia" w:asciiTheme="minorEastAsia" w:hAnsiTheme="minorEastAsia" w:eastAsiaTheme="minorEastAsia" w:cstheme="minorEastAsia"/>
                <w:b w:val="0"/>
                <w:bCs/>
                <w:color w:val="000000" w:themeColor="text1"/>
                <w:kern w:val="0"/>
                <w:sz w:val="22"/>
                <w:szCs w:val="22"/>
                <w:lang w:val="en-CA"/>
                <w14:textFill>
                  <w14:solidFill>
                    <w14:schemeClr w14:val="tx1"/>
                  </w14:solidFill>
                </w14:textFill>
              </w:rPr>
              <w:t xml:space="preserve">USC Wrigley Institute for Environmental Studies </w:t>
            </w: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）,交流学习：</w:t>
            </w:r>
          </w:p>
          <w:p>
            <w:pPr>
              <w:pStyle w:val="12"/>
              <w:numPr>
                <w:ilvl w:val="0"/>
                <w:numId w:val="4"/>
              </w:num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介绍该环境研究中心，及其研究概况和最新的研究项目</w:t>
            </w:r>
          </w:p>
          <w:p>
            <w:pPr>
              <w:pStyle w:val="12"/>
              <w:numPr>
                <w:ilvl w:val="0"/>
                <w:numId w:val="4"/>
              </w:numP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该中心的跨学科的合作研究模式</w:t>
            </w:r>
          </w:p>
          <w:p>
            <w:pPr>
              <w:rPr>
                <w:rFonts w:hint="eastAsia" w:asciiTheme="minorEastAsia" w:hAnsiTheme="minorEastAsia" w:eastAsiaTheme="minorEastAsia" w:cstheme="minorEastAsia"/>
                <w:b w:val="0"/>
                <w:bCs/>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b w:val="0"/>
                <w:bCs/>
                <w:color w:val="000000" w:themeColor="text1"/>
                <w:sz w:val="22"/>
                <w:szCs w:val="22"/>
                <w14:textFill>
                  <w14:solidFill>
                    <w14:schemeClr w14:val="tx1"/>
                  </w14:solidFill>
                </w14:textFill>
              </w:rPr>
              <w:t>问答环节</w:t>
            </w:r>
          </w:p>
        </w:tc>
        <w:tc>
          <w:tcPr>
            <w:tcW w:w="1094" w:type="dxa"/>
            <w:vAlign w:val="center"/>
          </w:tcPr>
          <w:p>
            <w:pPr>
              <w:spacing w:line="312" w:lineRule="auto"/>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洛杉矶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900"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D</w:t>
            </w:r>
            <w:r>
              <w:rPr>
                <w:rFonts w:hint="eastAsia" w:asciiTheme="minorEastAsia" w:hAnsiTheme="minorEastAsia" w:eastAsiaTheme="minorEastAsia" w:cstheme="minorEastAsia"/>
                <w:color w:val="000000" w:themeColor="text1"/>
                <w:sz w:val="22"/>
                <w:szCs w:val="22"/>
                <w14:textFill>
                  <w14:solidFill>
                    <w14:schemeClr w14:val="tx1"/>
                  </w14:solidFill>
                </w14:textFill>
              </w:rPr>
              <w:t>20</w:t>
            </w:r>
          </w:p>
        </w:tc>
        <w:tc>
          <w:tcPr>
            <w:tcW w:w="945" w:type="dxa"/>
            <w:vAlign w:val="center"/>
          </w:tcPr>
          <w:p>
            <w:pPr>
              <w:spacing w:line="400" w:lineRule="exact"/>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五</w:t>
            </w:r>
          </w:p>
        </w:tc>
        <w:tc>
          <w:tcPr>
            <w:tcW w:w="5941" w:type="dxa"/>
            <w:vAlign w:val="center"/>
          </w:tcPr>
          <w:p>
            <w:pPr>
              <w:spacing w:line="312" w:lineRule="auto"/>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早餐后，收拾行李前往机场，乘机返回北京。</w:t>
            </w:r>
          </w:p>
        </w:tc>
        <w:tc>
          <w:tcPr>
            <w:tcW w:w="1094" w:type="dxa"/>
            <w:vAlign w:val="center"/>
          </w:tcPr>
          <w:p>
            <w:pPr>
              <w:spacing w:line="312" w:lineRule="auto"/>
              <w:jc w:val="left"/>
              <w:rPr>
                <w:rFonts w:hint="eastAsia" w:asciiTheme="minorEastAsia" w:hAnsiTheme="minorEastAsia" w:eastAsiaTheme="minorEastAsia" w:cstheme="minorEastAsia"/>
                <w:color w:val="000000" w:themeColor="text1"/>
                <w:sz w:val="22"/>
                <w:szCs w:val="22"/>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洛杉矶</w:t>
            </w: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900" w:type="dxa"/>
            <w:vAlign w:val="center"/>
          </w:tcPr>
          <w:p>
            <w:pPr>
              <w:spacing w:line="240" w:lineRule="auto"/>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D21</w:t>
            </w:r>
          </w:p>
        </w:tc>
        <w:tc>
          <w:tcPr>
            <w:tcW w:w="945" w:type="dxa"/>
            <w:vAlign w:val="center"/>
          </w:tcPr>
          <w:p>
            <w:pPr>
              <w:spacing w:line="240" w:lineRule="auto"/>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六</w:t>
            </w:r>
          </w:p>
        </w:tc>
        <w:tc>
          <w:tcPr>
            <w:tcW w:w="5941" w:type="dxa"/>
            <w:vAlign w:val="center"/>
          </w:tcPr>
          <w:p>
            <w:pPr>
              <w:spacing w:line="240" w:lineRule="auto"/>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抵达北京</w:t>
            </w:r>
          </w:p>
        </w:tc>
        <w:tc>
          <w:tcPr>
            <w:tcW w:w="1094" w:type="dxa"/>
            <w:vAlign w:val="center"/>
          </w:tcPr>
          <w:p>
            <w:pPr>
              <w:spacing w:line="240" w:lineRule="auto"/>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北京</w:t>
            </w:r>
          </w:p>
        </w:tc>
      </w:tr>
    </w:tbl>
    <w:p>
      <w:pPr>
        <w:jc w:val="both"/>
        <w:rPr>
          <w:rFonts w:hint="eastAsia" w:asciiTheme="minorEastAsia" w:hAnsiTheme="minorEastAsia" w:eastAsiaTheme="minorEastAsia" w:cstheme="minorEastAsia"/>
          <w:sz w:val="22"/>
          <w:szCs w:val="22"/>
          <w:lang w:eastAsia="zh-CN"/>
        </w:rPr>
      </w:pPr>
      <w:bookmarkStart w:id="8" w:name="_GoBack"/>
    </w:p>
    <w:bookmarkEnd w:id="8"/>
    <w:sectPr>
      <w:headerReference r:id="rId3" w:type="default"/>
      <w:pgSz w:w="11906" w:h="16838"/>
      <w:pgMar w:top="1702" w:right="1133"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 w:name="PingFang SC">
    <w:altName w:val="Courier New"/>
    <w:panose1 w:val="00000000000000000000"/>
    <w:charset w:val="00"/>
    <w:family w:val="auto"/>
    <w:pitch w:val="default"/>
    <w:sig w:usb0="00000000" w:usb1="00000000" w:usb2="00000000" w:usb3="00000000" w:csb0="00000000" w:csb1="00000000"/>
  </w:font>
  <w:font w:name="隶书">
    <w:panose1 w:val="02010509060101010101"/>
    <w:charset w:val="86"/>
    <w:family w:val="auto"/>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书宋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书宋简体">
    <w:altName w:val="宋体"/>
    <w:panose1 w:val="00000000000000000000"/>
    <w:charset w:val="00"/>
    <w:family w:val="auto"/>
    <w:pitch w:val="default"/>
    <w:sig w:usb0="00000000" w:usb1="00000000" w:usb2="00000000" w:usb3="00000000" w:csb0="00000000" w:csb1="00000000"/>
  </w:font>
  <w:font w:name="SSJ0+ZGPIIQ-2">
    <w:altName w:val="Courier New"/>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-605790</wp:posOffset>
          </wp:positionH>
          <wp:positionV relativeFrom="paragraph">
            <wp:posOffset>-397510</wp:posOffset>
          </wp:positionV>
          <wp:extent cx="4694555" cy="932180"/>
          <wp:effectExtent l="0" t="0" r="0" b="127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694400" cy="9324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3F491"/>
    <w:multiLevelType w:val="singleLevel"/>
    <w:tmpl w:val="5A03F491"/>
    <w:lvl w:ilvl="0" w:tentative="0">
      <w:start w:val="1"/>
      <w:numFmt w:val="bullet"/>
      <w:lvlText w:val="–"/>
      <w:lvlJc w:val="left"/>
      <w:pPr>
        <w:ind w:left="420" w:leftChars="0" w:hanging="420" w:firstLineChars="0"/>
      </w:pPr>
      <w:rPr>
        <w:rFonts w:hint="default" w:ascii="Arial" w:hAnsi="Arial" w:cs="Arial"/>
      </w:rPr>
    </w:lvl>
  </w:abstractNum>
  <w:abstractNum w:abstractNumId="1">
    <w:nsid w:val="5A03F4E9"/>
    <w:multiLevelType w:val="singleLevel"/>
    <w:tmpl w:val="5A03F4E9"/>
    <w:lvl w:ilvl="0" w:tentative="0">
      <w:start w:val="1"/>
      <w:numFmt w:val="bullet"/>
      <w:lvlText w:val="–"/>
      <w:lvlJc w:val="left"/>
      <w:pPr>
        <w:ind w:left="420" w:leftChars="0" w:hanging="420" w:firstLineChars="0"/>
      </w:pPr>
      <w:rPr>
        <w:rFonts w:hint="default" w:ascii="Arial" w:hAnsi="Arial" w:cs="Arial"/>
      </w:rPr>
    </w:lvl>
  </w:abstractNum>
  <w:abstractNum w:abstractNumId="2">
    <w:nsid w:val="5A03F4FF"/>
    <w:multiLevelType w:val="singleLevel"/>
    <w:tmpl w:val="5A03F4FF"/>
    <w:lvl w:ilvl="0" w:tentative="0">
      <w:start w:val="1"/>
      <w:numFmt w:val="bullet"/>
      <w:lvlText w:val="–"/>
      <w:lvlJc w:val="left"/>
      <w:pPr>
        <w:ind w:left="420" w:leftChars="0" w:hanging="420" w:firstLineChars="0"/>
      </w:pPr>
      <w:rPr>
        <w:rFonts w:hint="default" w:ascii="Arial" w:hAnsi="Arial" w:cs="Arial"/>
      </w:rPr>
    </w:lvl>
  </w:abstractNum>
  <w:abstractNum w:abstractNumId="3">
    <w:nsid w:val="5A03F536"/>
    <w:multiLevelType w:val="singleLevel"/>
    <w:tmpl w:val="5A03F536"/>
    <w:lvl w:ilvl="0" w:tentative="0">
      <w:start w:val="1"/>
      <w:numFmt w:val="bullet"/>
      <w:lvlText w:val="–"/>
      <w:lvlJc w:val="left"/>
      <w:pPr>
        <w:ind w:left="420" w:leftChars="0" w:hanging="420" w:firstLineChars="0"/>
      </w:pPr>
      <w:rPr>
        <w:rFonts w:hint="default" w:ascii="Arial" w:hAnsi="Arial" w:cs="Arial"/>
      </w:rPr>
    </w:lvl>
  </w:abstractNum>
  <w:abstractNum w:abstractNumId="4">
    <w:nsid w:val="5A03F558"/>
    <w:multiLevelType w:val="singleLevel"/>
    <w:tmpl w:val="5A03F558"/>
    <w:lvl w:ilvl="0" w:tentative="0">
      <w:start w:val="1"/>
      <w:numFmt w:val="bullet"/>
      <w:lvlText w:val="–"/>
      <w:lvlJc w:val="left"/>
      <w:pPr>
        <w:ind w:left="420" w:leftChars="0" w:hanging="420" w:firstLineChars="0"/>
      </w:pPr>
      <w:rPr>
        <w:rFonts w:hint="default" w:ascii="Arial" w:hAnsi="Arial" w:cs="Arial"/>
      </w:rPr>
    </w:lvl>
  </w:abstractNum>
  <w:abstractNum w:abstractNumId="5">
    <w:nsid w:val="5A03F6B2"/>
    <w:multiLevelType w:val="singleLevel"/>
    <w:tmpl w:val="5A03F6B2"/>
    <w:lvl w:ilvl="0" w:tentative="0">
      <w:start w:val="1"/>
      <w:numFmt w:val="bullet"/>
      <w:lvlText w:val="–"/>
      <w:lvlJc w:val="left"/>
      <w:pPr>
        <w:ind w:left="420" w:leftChars="0" w:hanging="420" w:firstLineChars="0"/>
      </w:pPr>
      <w:rPr>
        <w:rFonts w:hint="default" w:ascii="Arial" w:hAnsi="Arial" w:cs="Arial"/>
      </w:rPr>
    </w:lvl>
  </w:abstractNum>
  <w:abstractNum w:abstractNumId="6">
    <w:nsid w:val="7E0C75A8"/>
    <w:multiLevelType w:val="multilevel"/>
    <w:tmpl w:val="7E0C75A8"/>
    <w:lvl w:ilvl="0" w:tentative="0">
      <w:start w:val="3"/>
      <w:numFmt w:val="bullet"/>
      <w:lvlText w:val="-"/>
      <w:lvlJc w:val="left"/>
      <w:pPr>
        <w:ind w:left="840" w:hanging="360"/>
      </w:pPr>
      <w:rPr>
        <w:rFonts w:hint="default" w:ascii="Calibri" w:hAnsi="Calibri" w:cs="Calibri" w:eastAsiaTheme="minorEastAsia"/>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5"/>
  </w:num>
  <w:num w:numId="2">
    <w:abstractNumId w:val="4"/>
  </w:num>
  <w:num w:numId="3">
    <w:abstractNumId w:val="3"/>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EB"/>
    <w:rsid w:val="000014AB"/>
    <w:rsid w:val="000034B5"/>
    <w:rsid w:val="00052175"/>
    <w:rsid w:val="000929C8"/>
    <w:rsid w:val="000D3C9C"/>
    <w:rsid w:val="0011006B"/>
    <w:rsid w:val="00183757"/>
    <w:rsid w:val="001A7927"/>
    <w:rsid w:val="001A7A92"/>
    <w:rsid w:val="001E4916"/>
    <w:rsid w:val="00260188"/>
    <w:rsid w:val="002A324D"/>
    <w:rsid w:val="0032115A"/>
    <w:rsid w:val="003261F7"/>
    <w:rsid w:val="003663AD"/>
    <w:rsid w:val="003A53D3"/>
    <w:rsid w:val="003E3699"/>
    <w:rsid w:val="00416275"/>
    <w:rsid w:val="0047783F"/>
    <w:rsid w:val="004F16D0"/>
    <w:rsid w:val="00502A5A"/>
    <w:rsid w:val="00531DFD"/>
    <w:rsid w:val="00536D3C"/>
    <w:rsid w:val="0057718F"/>
    <w:rsid w:val="005B6D2C"/>
    <w:rsid w:val="005F4261"/>
    <w:rsid w:val="0060339C"/>
    <w:rsid w:val="00626B5B"/>
    <w:rsid w:val="006D160A"/>
    <w:rsid w:val="006D1F5B"/>
    <w:rsid w:val="00735BFA"/>
    <w:rsid w:val="007D072A"/>
    <w:rsid w:val="00876E1F"/>
    <w:rsid w:val="008865AC"/>
    <w:rsid w:val="008C1062"/>
    <w:rsid w:val="00932DB6"/>
    <w:rsid w:val="00976501"/>
    <w:rsid w:val="00986F70"/>
    <w:rsid w:val="009A49C5"/>
    <w:rsid w:val="00AB1910"/>
    <w:rsid w:val="00AB76F0"/>
    <w:rsid w:val="00AC69F3"/>
    <w:rsid w:val="00AD26A0"/>
    <w:rsid w:val="00AE3BCC"/>
    <w:rsid w:val="00B1293A"/>
    <w:rsid w:val="00B36B4E"/>
    <w:rsid w:val="00B37F6A"/>
    <w:rsid w:val="00B43EBA"/>
    <w:rsid w:val="00B7148F"/>
    <w:rsid w:val="00BE0C3C"/>
    <w:rsid w:val="00BF23AD"/>
    <w:rsid w:val="00C869EB"/>
    <w:rsid w:val="00C94B1E"/>
    <w:rsid w:val="00D04B9F"/>
    <w:rsid w:val="00DC0DF4"/>
    <w:rsid w:val="00DC22FB"/>
    <w:rsid w:val="00DE4F7B"/>
    <w:rsid w:val="00E75818"/>
    <w:rsid w:val="00EC3BE6"/>
    <w:rsid w:val="00EC528A"/>
    <w:rsid w:val="00ED1769"/>
    <w:rsid w:val="00EE2B81"/>
    <w:rsid w:val="00F166D1"/>
    <w:rsid w:val="00F7217A"/>
    <w:rsid w:val="00FA7F28"/>
    <w:rsid w:val="00FC6016"/>
    <w:rsid w:val="00FE7FE5"/>
    <w:rsid w:val="00FF3512"/>
    <w:rsid w:val="011F5A96"/>
    <w:rsid w:val="175E24A0"/>
    <w:rsid w:val="19235277"/>
    <w:rsid w:val="20982140"/>
    <w:rsid w:val="2B075C92"/>
    <w:rsid w:val="2C787DC0"/>
    <w:rsid w:val="414937EA"/>
    <w:rsid w:val="4A1137FF"/>
    <w:rsid w:val="4A3B000F"/>
    <w:rsid w:val="4CBA7BE6"/>
    <w:rsid w:val="53176B7B"/>
    <w:rsid w:val="5F0B24AC"/>
    <w:rsid w:val="5F265038"/>
    <w:rsid w:val="62C92CFF"/>
    <w:rsid w:val="63AC1086"/>
    <w:rsid w:val="647A7BB9"/>
    <w:rsid w:val="6A9067D1"/>
    <w:rsid w:val="6F77647A"/>
    <w:rsid w:val="73244059"/>
    <w:rsid w:val="7B1455B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CA"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320"/>
        <w:tab w:val="right" w:pos="8640"/>
      </w:tabs>
      <w:spacing w:after="0" w:line="240" w:lineRule="auto"/>
    </w:pPr>
  </w:style>
  <w:style w:type="paragraph" w:styleId="3">
    <w:name w:val="header"/>
    <w:basedOn w:val="1"/>
    <w:link w:val="10"/>
    <w:unhideWhenUsed/>
    <w:qFormat/>
    <w:uiPriority w:val="99"/>
    <w:pPr>
      <w:tabs>
        <w:tab w:val="center" w:pos="4320"/>
        <w:tab w:val="right" w:pos="8640"/>
      </w:tabs>
      <w:spacing w:after="0" w:line="240" w:lineRule="auto"/>
    </w:pPr>
  </w:style>
  <w:style w:type="paragraph" w:styleId="4">
    <w:name w:val="HTML Preformatted"/>
    <w:basedOn w:val="1"/>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eastAsia="Times New Roman" w:cs="Courier New"/>
      <w:kern w:val="0"/>
      <w:sz w:val="20"/>
      <w:szCs w:val="20"/>
      <w:lang w:val="en-CA"/>
    </w:rPr>
  </w:style>
  <w:style w:type="character" w:styleId="6">
    <w:name w:val="Hyperlink"/>
    <w:basedOn w:val="5"/>
    <w:unhideWhenUsed/>
    <w:qFormat/>
    <w:uiPriority w:val="99"/>
    <w:rPr>
      <w:color w:val="0000FF"/>
      <w:u w:val="single"/>
    </w:rPr>
  </w:style>
  <w:style w:type="table" w:styleId="8">
    <w:name w:val="Table Grid"/>
    <w:basedOn w:val="7"/>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9">
    <w:name w:val="List Paragraph"/>
    <w:basedOn w:val="1"/>
    <w:qFormat/>
    <w:uiPriority w:val="34"/>
    <w:pPr>
      <w:ind w:left="720"/>
      <w:contextualSpacing/>
    </w:pPr>
  </w:style>
  <w:style w:type="character" w:customStyle="1" w:styleId="10">
    <w:name w:val="页眉 Char"/>
    <w:basedOn w:val="5"/>
    <w:link w:val="3"/>
    <w:qFormat/>
    <w:uiPriority w:val="99"/>
  </w:style>
  <w:style w:type="character" w:customStyle="1" w:styleId="11">
    <w:name w:val="页脚 Char"/>
    <w:basedOn w:val="5"/>
    <w:link w:val="2"/>
    <w:qFormat/>
    <w:uiPriority w:val="99"/>
  </w:style>
  <w:style w:type="paragraph" w:customStyle="1" w:styleId="12">
    <w:name w:val="列出段落1"/>
    <w:basedOn w:val="1"/>
    <w:qFormat/>
    <w:uiPriority w:val="34"/>
    <w:pPr>
      <w:widowControl/>
      <w:ind w:left="720"/>
      <w:jc w:val="left"/>
    </w:pPr>
    <w:rPr>
      <w:rFonts w:ascii="Calibri" w:hAnsi="Calibri" w:cs="Times New Roman"/>
      <w:kern w:val="0"/>
      <w:sz w:val="22"/>
      <w:lang w:val="en-CA"/>
    </w:rPr>
  </w:style>
  <w:style w:type="paragraph" w:customStyle="1" w:styleId="13">
    <w:name w:val="Default"/>
    <w:uiPriority w:val="0"/>
    <w:pPr>
      <w:widowControl w:val="0"/>
      <w:autoSpaceDE w:val="0"/>
      <w:autoSpaceDN w:val="0"/>
      <w:adjustRightInd w:val="0"/>
    </w:pPr>
    <w:rPr>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8</Pages>
  <Words>3341</Words>
  <Characters>3879</Characters>
  <Lines>17</Lines>
  <Paragraphs>4</Paragraphs>
  <ScaleCrop>false</ScaleCrop>
  <LinksUpToDate>false</LinksUpToDate>
  <CharactersWithSpaces>4165</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2017-11-07T05:22:00Z</dcterms:created>
  <dc:creator>周立平</dc:creator>
  <cp:lastModifiedBy>沐浴阳光</cp:lastModifiedBy>
  <dcterms:modified xsi:type="dcterms:W3CDTF">2017-11-09T06:41:15Z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